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Helvetica Neue" w:cs="Helvetica Neue" w:eastAsia="Helvetica Neue" w:hAnsi="Helvetica Neue"/>
          <w:b/>
        </w:rPr>
      </w:pPr>
      <w:r>
        <w:rPr>
          <w:rFonts w:ascii="Helvetica Neue" w:cs="Helvetica Neue" w:eastAsia="Helvetica Neue" w:hAnsi="Helvetica Neue"/>
          <w:b/>
        </w:rPr>
        <w:t>Regolamento sulla ripartizione degli Importi derivanti dall’Autoconsumo dell’Energia della Comunità di Energia Rinnovabile I Care Reggio Emilia</w:t>
      </w:r>
    </w:p>
    <w:p>
      <w:pPr>
        <w:pStyle w:val="style0"/>
        <w:spacing w:lineRule="auto" w:line="479"/>
        <w:jc w:val="center"/>
        <w:rPr>
          <w:rFonts w:ascii="Helvetica Neue" w:cs="Helvetica Neue" w:eastAsia="Helvetica Neue" w:hAnsi="Helvetica Neue"/>
        </w:rPr>
      </w:pPr>
    </w:p>
    <w:p>
      <w:pPr>
        <w:pStyle w:val="style0"/>
        <w:spacing w:lineRule="auto" w:line="479"/>
        <w:rPr>
          <w:rFonts w:ascii="Helvetica Neue" w:cs="Helvetica Neue" w:eastAsia="Helvetica Neue" w:hAnsi="Helvetica Neue"/>
          <w:b/>
        </w:rPr>
      </w:pPr>
      <w:r>
        <w:rPr>
          <w:rFonts w:ascii="Helvetica Neue" w:cs="Helvetica Neue" w:eastAsia="Helvetica Neue" w:hAnsi="Helvetica Neue"/>
          <w:b/>
        </w:rPr>
        <w:t>Articolo 1 – Definizioni</w:t>
      </w:r>
    </w:p>
    <w:p>
      <w:pPr>
        <w:pStyle w:val="style0"/>
        <w:spacing w:lineRule="auto" w:line="360"/>
        <w:jc w:val="both"/>
        <w:rPr>
          <w:rFonts w:ascii="Helvetica Neue" w:cs="Helvetica Neue" w:eastAsia="Helvetica Neue" w:hAnsi="Helvetica Neue"/>
        </w:rPr>
      </w:pPr>
      <w:r>
        <w:rPr>
          <w:rFonts w:ascii="Helvetica Neue" w:cs="Helvetica Neue" w:eastAsia="Helvetica Neue" w:hAnsi="Helvetica Neue"/>
        </w:rPr>
        <w:t>Ai fini dell’interpretazione e dell’applicazione delle disposizioni contenute nel presente Regolamento si applicano le seguenti definizioni:</w:t>
      </w:r>
    </w:p>
    <w:p>
      <w:pPr>
        <w:pStyle w:val="style0"/>
        <w:numPr>
          <w:ilvl w:val="0"/>
          <w:numId w:val="1"/>
        </w:numPr>
        <w:spacing w:before="280" w:after="0" w:lineRule="auto" w:line="360"/>
        <w:ind w:left="720" w:hanging="360"/>
        <w:jc w:val="both"/>
        <w:rPr>
          <w:rFonts w:ascii="Helvetica Neue" w:cs="Helvetica Neue" w:eastAsia="Helvetica Neue" w:hAnsi="Helvetica Neue"/>
        </w:rPr>
      </w:pPr>
      <w:r>
        <w:rPr>
          <w:rFonts w:ascii="Helvetica Neue" w:cs="Helvetica Neue" w:eastAsia="Helvetica Neue" w:hAnsi="Helvetica Neue"/>
          <w:b/>
        </w:rPr>
        <w:t>Autoconsumatore di energia rinnovabile</w:t>
      </w:r>
      <w:r>
        <w:rPr>
          <w:rFonts w:ascii="Arial" w:cs="Arial" w:eastAsia="Arial" w:hAnsi="Arial"/>
        </w:rPr>
        <w:t xml:space="preserve"> è il soggetto previsto dall’articolo 2, comma 1, lettera n), del decreto legislativo 199/21;</w:t>
      </w:r>
    </w:p>
    <w:p>
      <w:pPr>
        <w:pStyle w:val="style0"/>
        <w:numPr>
          <w:ilvl w:val="0"/>
          <w:numId w:val="1"/>
        </w:numPr>
        <w:spacing w:before="0" w:after="280" w:lineRule="auto" w:line="360"/>
        <w:ind w:left="720" w:hanging="360"/>
        <w:jc w:val="both"/>
        <w:rPr>
          <w:rFonts w:ascii="Helvetica Neue" w:cs="Helvetica Neue" w:eastAsia="Helvetica Neue" w:hAnsi="Helvetica Neue"/>
        </w:rPr>
      </w:pPr>
      <w:r>
        <w:rPr>
          <w:rFonts w:ascii="Helvetica Neue" w:cs="Helvetica Neue" w:eastAsia="Helvetica Neue" w:hAnsi="Helvetica Neue"/>
        </w:rPr>
        <w:t>“</w:t>
      </w:r>
      <w:r>
        <w:rPr>
          <w:rFonts w:ascii="Helvetica Neue" w:cs="Helvetica Neue" w:eastAsia="Helvetica Neue" w:hAnsi="Helvetica Neue"/>
          <w:b/>
        </w:rPr>
        <w:t>Comunità di energia rinnovabile o CER</w:t>
      </w:r>
      <w:r>
        <w:rPr>
          <w:rFonts w:ascii="Helvetica Neue" w:cs="Helvetica Neue" w:eastAsia="Helvetica Neue" w:hAnsi="Helvetica Neue"/>
        </w:rPr>
        <w:t>” è un soggetto giuridico che:</w:t>
      </w:r>
    </w:p>
    <w:p>
      <w:pPr>
        <w:pStyle w:val="style0"/>
        <w:keepNext w:val="false"/>
        <w:keepLines w:val="false"/>
        <w:pageBreakBefore w:val="false"/>
        <w:widowControl/>
        <w:numPr>
          <w:ilvl w:val="0"/>
          <w:numId w:val="4"/>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Arial" w:cs="Arial" w:eastAsia="Arial" w:hAnsi="Arial"/>
          <w:b w:val="false"/>
          <w:i w:val="false"/>
          <w:smallCaps w:val="false"/>
          <w:color w:val="000000"/>
          <w:sz w:val="24"/>
          <w:szCs w:val="24"/>
          <w:u w:val="none"/>
          <w:shd w:val="clear" w:color="auto" w:fill="auto"/>
          <w:vertAlign w:val="baseline"/>
        </w:rPr>
        <w:t>si basa sulla partecipazione aperta e volontaria (a condizione che le imprese siano PMI e che la partecipazione alla comunità di energia rinnovabile non costituisca l’attività commerciale e/o industriale principale), è autonomo ed è effettivamente controllato da soci o membri che sono situati nelle vicinanze degli impianti di produzione detenuti dalla comunità di energia rinnovabile;</w:t>
      </w:r>
    </w:p>
    <w:p>
      <w:pPr>
        <w:pStyle w:val="style0"/>
        <w:keepNext w:val="false"/>
        <w:keepLines w:val="false"/>
        <w:pageBreakBefore w:val="false"/>
        <w:widowControl/>
        <w:numPr>
          <w:ilvl w:val="0"/>
          <w:numId w:val="4"/>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val="false"/>
          <w:i w:val="false"/>
          <w:smallCaps w:val="false"/>
          <w:color w:val="000000"/>
          <w:sz w:val="24"/>
          <w:szCs w:val="24"/>
          <w:u w:val="none"/>
          <w:shd w:val="clear" w:color="auto" w:fill="auto"/>
          <w:vertAlign w:val="baseline"/>
        </w:rPr>
        <w:t xml:space="preserve">i cui soci o membri che esercitano poteri di controllo possono essere solo persone fisiche, piccole o medie imprese, associazioni con personalità giuridica di diritto privato, enti territoriali o autorità locali, ivi incluse, ai sensi dell’art. 31, comma 1 lettera b) del D.Lgs. 199/21, le amministrazioni comunali, gli enti di ricerca e formazione, gli enti religiosi, del terzo settore e di protezione ambientale nonché le amministrazioni locali contenute nell’elenco delle amministrazioni pubbliche divulgato dall’Istituto Nazionale di Statistica (di seguito. anche: ISTAT) secondo quanto previsto all’articolo 1, comma 3, della legge 31 dicembre 2009, n. 196, situati nel territorio degli stessi Comuni in cui sono ubicati gli impianti di produzione detenuti dalla comunità di energia rinnovabile; </w:t>
      </w:r>
    </w:p>
    <w:p>
      <w:pPr>
        <w:pStyle w:val="style0"/>
        <w:keepNext w:val="false"/>
        <w:keepLines w:val="false"/>
        <w:pageBreakBefore w:val="false"/>
        <w:widowControl/>
        <w:numPr>
          <w:ilvl w:val="0"/>
          <w:numId w:val="4"/>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val="false"/>
          <w:i w:val="false"/>
          <w:smallCaps w:val="false"/>
          <w:color w:val="000000"/>
          <w:sz w:val="24"/>
          <w:szCs w:val="24"/>
          <w:u w:val="none"/>
          <w:shd w:val="clear" w:color="auto" w:fill="auto"/>
          <w:vertAlign w:val="baseline"/>
        </w:rPr>
        <w:t>il cui obiettivo principale è fornire benefici ambientali, economici o sociali a livello di comunità ai propri soci o membri o alle aree locali in cui opera, piuttosto che profitti finanziari;</w:t>
      </w:r>
    </w:p>
    <w:p>
      <w:pPr>
        <w:pStyle w:val="style0"/>
        <w:keepNext w:val="false"/>
        <w:keepLines w:val="false"/>
        <w:pageBreakBefore w:val="false"/>
        <w:widowControl/>
        <w:numPr>
          <w:ilvl w:val="0"/>
          <w:numId w:val="4"/>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val="false"/>
          <w:i w:val="false"/>
          <w:smallCaps w:val="false"/>
          <w:color w:val="000000"/>
          <w:sz w:val="24"/>
          <w:szCs w:val="24"/>
          <w:u w:val="none"/>
          <w:shd w:val="clear" w:color="auto" w:fill="auto"/>
          <w:vertAlign w:val="baseline"/>
        </w:rPr>
        <w:t>ha la possibilità di attivare diverse configurazioni di autoconsumo fermo restando che per ciascuna di esse dovrà essere inviata una richiesta di accesso al servizio per l’autoconsumo diffuso;</w:t>
      </w:r>
    </w:p>
    <w:p>
      <w:pPr>
        <w:pStyle w:val="style0"/>
        <w:numPr>
          <w:ilvl w:val="0"/>
          <w:numId w:val="6"/>
        </w:numPr>
        <w:spacing w:lineRule="auto" w:line="360"/>
        <w:ind w:left="720" w:hanging="360"/>
        <w:jc w:val="both"/>
        <w:rPr>
          <w:rFonts w:ascii="Helvetica Neue" w:cs="Helvetica Neue" w:eastAsia="Helvetica Neue" w:hAnsi="Helvetica Neue"/>
        </w:rPr>
      </w:pPr>
      <w:r>
        <w:rPr>
          <w:rFonts w:ascii="Helvetica Neue" w:cs="Helvetica Neue" w:eastAsia="Helvetica Neue" w:hAnsi="Helvetica Neue"/>
        </w:rPr>
        <w:t xml:space="preserve"> </w:t>
      </w:r>
      <w:r>
        <w:rPr>
          <w:rFonts w:ascii="Helvetica Neue" w:cs="Helvetica Neue" w:eastAsia="Helvetica Neue" w:hAnsi="Helvetica Neue"/>
          <w:b/>
        </w:rPr>
        <w:t>“Energia Elettrica</w:t>
      </w:r>
      <w:r>
        <w:rPr>
          <w:rFonts w:ascii="Helvetica Neue" w:cs="Helvetica Neue" w:eastAsia="Helvetica Neue" w:hAnsi="Helvetica Neue"/>
        </w:rPr>
        <w:t xml:space="preserve"> </w:t>
      </w:r>
      <w:r>
        <w:rPr>
          <w:rFonts w:ascii="Helvetica Neue" w:cs="Helvetica Neue" w:eastAsia="Helvetica Neue" w:hAnsi="Helvetica Neue"/>
          <w:b/>
        </w:rPr>
        <w:t>Autoconsumata o Incentivata</w:t>
      </w:r>
      <w:r>
        <w:rPr>
          <w:rFonts w:ascii="Helvetica Neue" w:cs="Helvetica Neue" w:eastAsia="Helvetica Neue" w:hAnsi="Helvetica Neue"/>
        </w:rPr>
        <w:t>” è, in ogni ora, l’energia elettrica condivisa afferente ai soli punti di connessione ubicati nella porzione della rete di distribuzione sottesa alla stessa cabina primaria;</w:t>
      </w:r>
    </w:p>
    <w:p>
      <w:pPr>
        <w:pStyle w:val="style0"/>
        <w:numPr>
          <w:ilvl w:val="0"/>
          <w:numId w:val="6"/>
        </w:numPr>
        <w:spacing w:lineRule="auto" w:line="360"/>
        <w:ind w:left="720" w:hanging="360"/>
        <w:jc w:val="both"/>
        <w:rPr>
          <w:rFonts w:ascii="Helvetica Neue" w:cs="Helvetica Neue" w:eastAsia="Helvetica Neue" w:hAnsi="Helvetica Neue"/>
        </w:rPr>
      </w:pPr>
      <w:r>
        <w:rPr>
          <w:rFonts w:ascii="Helvetica Neue" w:cs="Helvetica Neue" w:eastAsia="Helvetica Neue" w:hAnsi="Helvetica Neue"/>
        </w:rPr>
        <w:t>“</w:t>
      </w:r>
      <w:r>
        <w:rPr>
          <w:rFonts w:ascii="Helvetica Neue" w:cs="Helvetica Neue" w:eastAsia="Helvetica Neue" w:hAnsi="Helvetica Neue"/>
          <w:b/>
        </w:rPr>
        <w:t>Energia Elettrica Immessa</w:t>
      </w:r>
      <w:r>
        <w:rPr>
          <w:rFonts w:ascii="Helvetica Neue" w:cs="Helvetica Neue" w:eastAsia="Helvetica Neue" w:hAnsi="Helvetica Neue"/>
        </w:rPr>
        <w:t>” è l’energia elettrica effettivamente immessa nella rete aumentata di un fattore percentuale, nel caso di punti di immissione in bassa tensione e in media tensione, secondo le stesse modalità previste dall’articolo 76, comma 76.1, lettera a), del TIS;</w:t>
      </w:r>
    </w:p>
    <w:p>
      <w:pPr>
        <w:pStyle w:val="style0"/>
        <w:numPr>
          <w:ilvl w:val="0"/>
          <w:numId w:val="6"/>
        </w:numPr>
        <w:spacing w:lineRule="auto" w:line="360"/>
        <w:ind w:left="720" w:hanging="360"/>
        <w:jc w:val="both"/>
        <w:rPr>
          <w:rFonts w:ascii="Helvetica Neue" w:cs="Helvetica Neue" w:eastAsia="Helvetica Neue" w:hAnsi="Helvetica Neue"/>
        </w:rPr>
      </w:pPr>
      <w:r>
        <w:rPr>
          <w:rFonts w:ascii="Helvetica Neue" w:cs="Helvetica Neue" w:eastAsia="Helvetica Neue" w:hAnsi="Helvetica Neue"/>
          <w:b/>
        </w:rPr>
        <w:t>“Energia Elettrica Condivisa</w:t>
      </w:r>
      <w:r>
        <w:rPr>
          <w:rFonts w:ascii="Arial" w:cs="Arial" w:eastAsia="Arial" w:hAnsi="Arial"/>
        </w:rPr>
        <w:t xml:space="preserve">” è, in ogni ora e per l’insieme dei punti di connessione ubicati nella stessa zona di mercato che rilevano ai fini di una configurazione per l’autoconsumo diffuso, il minimo tra l’energia elettrica immessa ai fini della condivisione e l’energia elettrica prelevata ai fini della condivisione. </w:t>
      </w:r>
    </w:p>
    <w:p>
      <w:pPr>
        <w:pStyle w:val="style0"/>
        <w:numPr>
          <w:ilvl w:val="0"/>
          <w:numId w:val="6"/>
        </w:numPr>
        <w:spacing w:lineRule="auto" w:line="360"/>
        <w:ind w:left="720" w:hanging="360"/>
        <w:jc w:val="both"/>
        <w:rPr>
          <w:rFonts w:ascii="Helvetica Neue" w:cs="Helvetica Neue" w:eastAsia="Helvetica Neue" w:hAnsi="Helvetica Neue"/>
        </w:rPr>
      </w:pPr>
      <w:r>
        <w:rPr>
          <w:rFonts w:ascii="Helvetica Neue" w:cs="Helvetica Neue" w:eastAsia="Helvetica Neue" w:hAnsi="Helvetica Neue"/>
        </w:rPr>
        <w:t>“</w:t>
      </w:r>
      <w:r>
        <w:rPr>
          <w:rFonts w:ascii="Helvetica Neue" w:cs="Helvetica Neue" w:eastAsia="Helvetica Neue" w:hAnsi="Helvetica Neue"/>
          <w:b/>
        </w:rPr>
        <w:t>Energia elettrica prelevata</w:t>
      </w:r>
      <w:r>
        <w:rPr>
          <w:rFonts w:ascii="Helvetica Neue" w:cs="Helvetica Neue" w:eastAsia="Helvetica Neue" w:hAnsi="Helvetica Neue"/>
        </w:rPr>
        <w:t>” è l’energia elettrica prelevata dalla rete;</w:t>
      </w:r>
    </w:p>
    <w:p>
      <w:pPr>
        <w:pStyle w:val="style0"/>
        <w:numPr>
          <w:ilvl w:val="0"/>
          <w:numId w:val="6"/>
        </w:numPr>
        <w:spacing w:lineRule="auto" w:line="360"/>
        <w:ind w:left="720" w:hanging="360"/>
        <w:jc w:val="both"/>
        <w:rPr>
          <w:rFonts w:ascii="Helvetica Neue" w:cs="Helvetica Neue" w:eastAsia="Helvetica Neue" w:hAnsi="Helvetica Neue"/>
        </w:rPr>
      </w:pPr>
      <w:r>
        <w:rPr>
          <w:rFonts w:ascii="Helvetica Neue" w:cs="Helvetica Neue" w:eastAsia="Helvetica Neue" w:hAnsi="Helvetica Neue"/>
        </w:rPr>
        <w:t>“</w:t>
      </w:r>
      <w:r>
        <w:rPr>
          <w:rFonts w:ascii="Helvetica Neue" w:cs="Helvetica Neue" w:eastAsia="Helvetica Neue" w:hAnsi="Helvetica Neue"/>
          <w:b/>
        </w:rPr>
        <w:t>Gestore di rete</w:t>
      </w:r>
      <w:r>
        <w:rPr>
          <w:rFonts w:ascii="Helvetica Neue" w:cs="Helvetica Neue" w:eastAsia="Helvetica Neue" w:hAnsi="Helvetica Neue"/>
        </w:rPr>
        <w:t>” è il soggetto concessionario del servizio di distribuzione o di trasmissione della rete elettrica con obbligo di connessione di terzi;</w:t>
      </w:r>
    </w:p>
    <w:p>
      <w:pPr>
        <w:pStyle w:val="style0"/>
        <w:numPr>
          <w:ilvl w:val="0"/>
          <w:numId w:val="6"/>
        </w:numPr>
        <w:spacing w:lineRule="auto" w:line="360"/>
        <w:ind w:left="720" w:hanging="360"/>
        <w:jc w:val="both"/>
        <w:rPr>
          <w:rFonts w:ascii="Helvetica Neue" w:cs="Helvetica Neue" w:eastAsia="Helvetica Neue" w:hAnsi="Helvetica Neue"/>
        </w:rPr>
      </w:pPr>
      <w:r>
        <w:rPr>
          <w:rFonts w:ascii="Helvetica Neue" w:cs="Helvetica Neue" w:eastAsia="Helvetica Neue" w:hAnsi="Helvetica Neue"/>
        </w:rPr>
        <w:t>“</w:t>
      </w:r>
      <w:r>
        <w:rPr>
          <w:rFonts w:ascii="Helvetica Neue" w:cs="Helvetica Neue" w:eastAsia="Helvetica Neue" w:hAnsi="Helvetica Neue"/>
          <w:b/>
        </w:rPr>
        <w:t>Impianto di produzione di energia elettrica alimentato da fonti rinnovabili detenuto dalla comunità di energia rinnovabile</w:t>
      </w:r>
      <w:r>
        <w:rPr>
          <w:rFonts w:ascii="Helvetica Neue" w:cs="Helvetica Neue" w:eastAsia="Helvetica Neue" w:hAnsi="Helvetica Neue"/>
        </w:rPr>
        <w:t>” è un impianto di produzione di energia elettrica alimentato da fonti rinnovabili del quale la comunità di energia rinnovabile ha la proprietà ovvero la piena disponibilità sulla base di un titolo giuridico anche diverso dalla proprietà (quali, a titolo d’esempio, usufrutto, ovvero titoli contrattuali o altri titoli quali il comodato d’uso), a condizione che la mera detenzione o disponibilità dell’impianto sulla base di un titolo diverso dalla proprietà non sia di ostacolo al raggiungimento degli obiettivi della comunità;</w:t>
      </w:r>
    </w:p>
    <w:p>
      <w:pPr>
        <w:pStyle w:val="style0"/>
        <w:numPr>
          <w:ilvl w:val="0"/>
          <w:numId w:val="6"/>
        </w:numPr>
        <w:spacing w:lineRule="auto" w:line="360"/>
        <w:ind w:left="720" w:hanging="360"/>
        <w:jc w:val="both"/>
        <w:rPr>
          <w:rFonts w:ascii="Helvetica Neue" w:cs="Helvetica Neue" w:eastAsia="Helvetica Neue" w:hAnsi="Helvetica Neue"/>
        </w:rPr>
      </w:pPr>
      <w:r>
        <w:rPr>
          <w:rFonts w:ascii="Helvetica Neue" w:cs="Helvetica Neue" w:eastAsia="Helvetica Neue" w:hAnsi="Helvetica Neue"/>
        </w:rPr>
        <w:t>“</w:t>
      </w:r>
      <w:r>
        <w:rPr>
          <w:rFonts w:ascii="Helvetica Neue" w:cs="Helvetica Neue" w:eastAsia="Helvetica Neue" w:hAnsi="Helvetica Neue"/>
          <w:b/>
        </w:rPr>
        <w:t>Importi derivanti dall’Autoconsumo dell’Energia</w:t>
      </w:r>
      <w:r>
        <w:rPr>
          <w:rFonts w:ascii="Helvetica Neue" w:cs="Helvetica Neue" w:eastAsia="Helvetica Neue" w:hAnsi="Helvetica Neue"/>
        </w:rPr>
        <w:t xml:space="preserve">” indica per ciascun kWh di Energia elettrica autoconsumata dalla comunità energetica gli importi che vengono riconosciuti dal GSE, per un periodo di 20 anni costituiti da: </w:t>
      </w:r>
    </w:p>
    <w:p>
      <w:pPr>
        <w:pStyle w:val="style0"/>
        <w:numPr>
          <w:ilvl w:val="0"/>
          <w:numId w:val="7"/>
        </w:numPr>
        <w:spacing w:lineRule="auto" w:line="360"/>
        <w:ind w:left="1428" w:hanging="720"/>
        <w:jc w:val="both"/>
        <w:rPr>
          <w:rFonts w:ascii="Helvetica Neue" w:cs="Helvetica Neue" w:eastAsia="Helvetica Neue" w:hAnsi="Helvetica Neue"/>
        </w:rPr>
      </w:pPr>
      <w:r>
        <w:rPr>
          <w:rFonts w:ascii="Helvetica Neue" w:cs="Helvetica Neue" w:eastAsia="Helvetica Neue" w:hAnsi="Helvetica Neue"/>
        </w:rPr>
        <w:t>le tariffe incentivanti riconosciute ai sensi dell’art. 8 del D.lgs 199/2021, e del DM MASE 07.12.2023 n.414 all’energia prodotta dagli impianti a fonti rinnovabili (la “</w:t>
      </w:r>
      <w:r>
        <w:rPr>
          <w:rFonts w:ascii="Helvetica Neue" w:cs="Helvetica Neue" w:eastAsia="Helvetica Neue" w:hAnsi="Helvetica Neue"/>
          <w:b/>
        </w:rPr>
        <w:t>Tariffa Incentivante</w:t>
      </w:r>
      <w:r>
        <w:rPr>
          <w:rFonts w:ascii="Helvetica Neue" w:cs="Helvetica Neue" w:eastAsia="Helvetica Neue" w:hAnsi="Helvetica Neue"/>
        </w:rPr>
        <w:t>”) detenuti dalla Comunità di Energia Rinnovabile (la “</w:t>
      </w:r>
      <w:r>
        <w:rPr>
          <w:rFonts w:ascii="Helvetica Neue" w:cs="Helvetica Neue" w:eastAsia="Helvetica Neue" w:hAnsi="Helvetica Neue"/>
          <w:b/>
        </w:rPr>
        <w:t>Comunità</w:t>
      </w:r>
      <w:r>
        <w:rPr>
          <w:rFonts w:ascii="Helvetica Neue" w:cs="Helvetica Neue" w:eastAsia="Helvetica Neue" w:hAnsi="Helvetica Neue"/>
        </w:rPr>
        <w:t xml:space="preserve">”) e gestiti dalla Comunità medesima o da un suo socio o da un produttore terzo ai sensi dell’art. 3.4, lett. F) dell’Allegato A alla Delibera n. 727/2022 dell’Autorità di Regolazione Reti e Ambiente; </w:t>
      </w:r>
    </w:p>
    <w:p>
      <w:pPr>
        <w:pStyle w:val="style0"/>
        <w:numPr>
          <w:ilvl w:val="0"/>
          <w:numId w:val="7"/>
        </w:numPr>
        <w:spacing w:lineRule="auto" w:line="360"/>
        <w:ind w:left="1428" w:hanging="720"/>
        <w:jc w:val="both"/>
        <w:rPr>
          <w:rFonts w:ascii="Helvetica Neue" w:cs="Helvetica Neue" w:eastAsia="Helvetica Neue" w:hAnsi="Helvetica Neue"/>
        </w:rPr>
      </w:pPr>
      <w:r>
        <w:rPr>
          <w:rFonts w:ascii="Helvetica Neue" w:cs="Helvetica Neue" w:eastAsia="Helvetica Neue" w:hAnsi="Helvetica Neue"/>
        </w:rPr>
        <w:t>le componenti tariffarie restituite ai sensi dell’art. 32, comma 3, DLgs 07/12/2024 n.414 all’energia prodotta dagli impianti a fonti rinnovabili (il “</w:t>
      </w:r>
      <w:r>
        <w:rPr>
          <w:rFonts w:ascii="Helvetica Neue" w:cs="Helvetica Neue" w:eastAsia="Helvetica Neue" w:hAnsi="Helvetica Neue"/>
          <w:b/>
        </w:rPr>
        <w:t>Contributo per la valorizzazione dell’energia elettrica autoconsumata</w:t>
      </w:r>
      <w:r>
        <w:rPr>
          <w:rFonts w:ascii="PT Sans" w:cs="PT Sans" w:eastAsia="PT Sans" w:hAnsi="PT Sans"/>
        </w:rPr>
        <w:t>”) determinate ai sensi dell’art. 6.4 dell’Allegato A alla Delibera n. 727/2022 dell’Autorità di Regolazione Reti e Ambiente (somma della tariffa di trasmissione per le utenze in bassa tensione, pari a 8,48 €/MWh per l’anno 2023, e del valore più elevato della componente variabile di distribuzione per le utenze altri usi in bassa tensione, pari a 0,60 €/MWh per l’anno 2023);</w:t>
      </w:r>
    </w:p>
    <w:p>
      <w:pPr>
        <w:pStyle w:val="style0"/>
        <w:keepNext w:val="false"/>
        <w:keepLines w:val="false"/>
        <w:pageBreakBefore w:val="false"/>
        <w:widowControl/>
        <w:numPr>
          <w:ilvl w:val="0"/>
          <w:numId w:val="7"/>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i w:val="false"/>
          <w:smallCaps w:val="false"/>
          <w:color w:val="000000"/>
          <w:sz w:val="24"/>
          <w:szCs w:val="24"/>
          <w:u w:val="none"/>
          <w:shd w:val="clear" w:color="auto" w:fill="auto"/>
          <w:vertAlign w:val="baseline"/>
        </w:rPr>
        <w:t>“Importi derivanti dalla Vendita dell’Energia Elettrica”</w:t>
      </w:r>
      <w:r>
        <w:rPr>
          <w:rFonts w:ascii="Helvetica Neue" w:cs="Helvetica Neue" w:eastAsia="Helvetica Neue" w:hAnsi="Helvetica Neue"/>
          <w:b w:val="false"/>
          <w:i w:val="false"/>
          <w:smallCaps w:val="false"/>
          <w:color w:val="000000"/>
          <w:sz w:val="24"/>
          <w:szCs w:val="24"/>
          <w:u w:val="none"/>
          <w:shd w:val="clear" w:color="auto" w:fill="auto"/>
          <w:vertAlign w:val="baseline"/>
        </w:rPr>
        <w:t xml:space="preserve"> indica i ricavi derivanti dalla vendita dell’energia elettrica attraverso il ritiro dell’energia elettrica immessa in rete da parte del GSE;</w:t>
      </w:r>
    </w:p>
    <w:p>
      <w:pPr>
        <w:pStyle w:val="style0"/>
        <w:keepNext w:val="false"/>
        <w:keepLines w:val="false"/>
        <w:pageBreakBefore w:val="false"/>
        <w:widowControl/>
        <w:numPr>
          <w:ilvl w:val="0"/>
          <w:numId w:val="7"/>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i w:val="false"/>
          <w:smallCaps w:val="false"/>
          <w:color w:val="000000"/>
          <w:sz w:val="24"/>
          <w:szCs w:val="24"/>
          <w:u w:val="none"/>
          <w:shd w:val="clear" w:color="auto" w:fill="auto"/>
          <w:vertAlign w:val="baseline"/>
        </w:rPr>
        <w:t xml:space="preserve">“Produttore” </w:t>
      </w:r>
      <w:r>
        <w:rPr>
          <w:rFonts w:ascii="Arial" w:cs="Arial" w:eastAsia="Arial" w:hAnsi="Arial"/>
          <w:b w:val="false"/>
          <w:i w:val="false"/>
          <w:smallCaps w:val="false"/>
          <w:color w:val="000000"/>
          <w:sz w:val="24"/>
          <w:szCs w:val="24"/>
          <w:u w:val="none"/>
          <w:shd w:val="clear" w:color="auto" w:fill="auto"/>
          <w:vertAlign w:val="baseline"/>
        </w:rPr>
        <w:t xml:space="preserve">è una persona fisica o giuridica, intestatario dell’officina elettrica di produzione, ove prevista dalla normativa vigente, nonché l’intestatario delle autorizzazioni alla realizzazione e all’esercizio dell’impianto di produzione; </w:t>
      </w:r>
    </w:p>
    <w:p>
      <w:pPr>
        <w:pStyle w:val="style0"/>
        <w:keepNext w:val="false"/>
        <w:keepLines w:val="false"/>
        <w:pageBreakBefore w:val="false"/>
        <w:widowControl/>
        <w:numPr>
          <w:ilvl w:val="0"/>
          <w:numId w:val="7"/>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val="false"/>
          <w:i w:val="false"/>
          <w:smallCaps w:val="false"/>
          <w:color w:val="000000"/>
          <w:sz w:val="24"/>
          <w:szCs w:val="24"/>
          <w:u w:val="none"/>
          <w:shd w:val="clear" w:color="auto" w:fill="auto"/>
          <w:vertAlign w:val="baseline"/>
        </w:rPr>
        <w:t>“</w:t>
      </w:r>
      <w:r>
        <w:rPr>
          <w:rFonts w:ascii="Helvetica Neue" w:cs="Helvetica Neue" w:eastAsia="Helvetica Neue" w:hAnsi="Helvetica Neue"/>
          <w:b/>
          <w:i w:val="false"/>
          <w:smallCaps w:val="false"/>
          <w:color w:val="000000"/>
          <w:sz w:val="24"/>
          <w:szCs w:val="24"/>
          <w:u w:val="none"/>
          <w:shd w:val="clear" w:color="auto" w:fill="auto"/>
          <w:vertAlign w:val="baseline"/>
        </w:rPr>
        <w:t>Referente</w:t>
      </w:r>
      <w:r>
        <w:rPr>
          <w:rFonts w:ascii="Helvetica Neue" w:cs="Helvetica Neue" w:eastAsia="Helvetica Neue" w:hAnsi="Helvetica Neue"/>
          <w:b w:val="false"/>
          <w:i w:val="false"/>
          <w:smallCaps w:val="false"/>
          <w:color w:val="000000"/>
          <w:sz w:val="24"/>
          <w:szCs w:val="24"/>
          <w:u w:val="none"/>
          <w:shd w:val="clear" w:color="auto" w:fill="auto"/>
          <w:vertAlign w:val="baseline"/>
        </w:rPr>
        <w:t>” nel caso di una comunità di energia rinnovabile, può essere svolto dalla comunità stessa nella persona fisica che ne ha la rappresentanza legale, o in alternativa può essere svolto da un produttore o da un cliente finale appartenente alla CER o da un produttore terzo che risulti essere una ESCO certificata UNI 11352;</w:t>
      </w:r>
    </w:p>
    <w:p>
      <w:pPr>
        <w:pStyle w:val="style0"/>
        <w:keepNext w:val="false"/>
        <w:keepLines w:val="false"/>
        <w:pageBreakBefore w:val="false"/>
        <w:widowControl/>
        <w:numPr>
          <w:ilvl w:val="0"/>
          <w:numId w:val="7"/>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val="false"/>
          <w:i w:val="false"/>
          <w:smallCaps w:val="false"/>
          <w:color w:val="000000"/>
          <w:sz w:val="24"/>
          <w:szCs w:val="24"/>
          <w:u w:val="none"/>
          <w:shd w:val="clear" w:color="auto" w:fill="auto"/>
          <w:vertAlign w:val="baseline"/>
        </w:rPr>
        <w:t>“</w:t>
      </w:r>
      <w:r>
        <w:rPr>
          <w:rFonts w:ascii="Helvetica Neue" w:cs="Helvetica Neue" w:eastAsia="Helvetica Neue" w:hAnsi="Helvetica Neue"/>
          <w:b/>
          <w:i w:val="false"/>
          <w:smallCaps w:val="false"/>
          <w:color w:val="000000"/>
          <w:sz w:val="24"/>
          <w:szCs w:val="24"/>
          <w:u w:val="none"/>
          <w:shd w:val="clear" w:color="auto" w:fill="auto"/>
          <w:vertAlign w:val="baseline"/>
        </w:rPr>
        <w:t>Rendiconto</w:t>
      </w:r>
      <w:r>
        <w:rPr>
          <w:rFonts w:ascii="Helvetica Neue" w:cs="Helvetica Neue" w:eastAsia="Helvetica Neue" w:hAnsi="Helvetica Neue"/>
          <w:b w:val="false"/>
          <w:i w:val="false"/>
          <w:smallCaps w:val="false"/>
          <w:color w:val="000000"/>
          <w:sz w:val="24"/>
          <w:szCs w:val="24"/>
          <w:u w:val="none"/>
          <w:shd w:val="clear" w:color="auto" w:fill="auto"/>
          <w:vertAlign w:val="baseline"/>
        </w:rPr>
        <w:t xml:space="preserve">” è un rapporto economico di sintesi annuale relativo agli </w:t>
      </w:r>
      <w:r>
        <w:rPr>
          <w:rFonts w:ascii="Helvetica Neue" w:cs="Helvetica Neue" w:eastAsia="Helvetica Neue" w:hAnsi="Helvetica Neue"/>
          <w:b/>
          <w:i w:val="false"/>
          <w:smallCaps w:val="false"/>
          <w:color w:val="000000"/>
          <w:sz w:val="24"/>
          <w:szCs w:val="24"/>
          <w:u w:val="none"/>
          <w:shd w:val="clear" w:color="auto" w:fill="auto"/>
          <w:vertAlign w:val="baseline"/>
        </w:rPr>
        <w:t>Importi derivanti dall’Autoconsumo dell’Energia</w:t>
      </w:r>
      <w:r>
        <w:rPr>
          <w:rFonts w:ascii="Helvetica Neue" w:cs="Helvetica Neue" w:eastAsia="Helvetica Neue" w:hAnsi="Helvetica Neue"/>
          <w:b w:val="false"/>
          <w:i w:val="false"/>
          <w:smallCaps w:val="false"/>
          <w:color w:val="000000"/>
          <w:sz w:val="24"/>
          <w:szCs w:val="24"/>
          <w:u w:val="none"/>
          <w:shd w:val="clear" w:color="auto" w:fill="auto"/>
          <w:vertAlign w:val="baseline"/>
        </w:rPr>
        <w:t xml:space="preserve">; </w:t>
      </w:r>
    </w:p>
    <w:p>
      <w:pPr>
        <w:pStyle w:val="style0"/>
        <w:keepNext w:val="false"/>
        <w:keepLines w:val="false"/>
        <w:pageBreakBefore w:val="false"/>
        <w:widowControl/>
        <w:numPr>
          <w:ilvl w:val="0"/>
          <w:numId w:val="7"/>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val="false"/>
          <w:i w:val="false"/>
          <w:smallCaps w:val="false"/>
          <w:color w:val="000000"/>
          <w:sz w:val="24"/>
          <w:szCs w:val="24"/>
          <w:u w:val="none"/>
          <w:shd w:val="clear" w:color="auto" w:fill="auto"/>
          <w:vertAlign w:val="baseline"/>
        </w:rPr>
        <w:t>“</w:t>
      </w:r>
      <w:r>
        <w:rPr>
          <w:rFonts w:ascii="Helvetica Neue" w:cs="Helvetica Neue" w:eastAsia="Helvetica Neue" w:hAnsi="Helvetica Neue"/>
          <w:b/>
          <w:i w:val="false"/>
          <w:smallCaps w:val="false"/>
          <w:color w:val="000000"/>
          <w:sz w:val="24"/>
          <w:szCs w:val="24"/>
          <w:u w:val="none"/>
          <w:shd w:val="clear" w:color="auto" w:fill="auto"/>
          <w:vertAlign w:val="baseline"/>
        </w:rPr>
        <w:t>Ritiro Dedicato</w:t>
      </w:r>
      <w:r>
        <w:rPr>
          <w:rFonts w:ascii="Helvetica Neue" w:cs="Helvetica Neue" w:eastAsia="Helvetica Neue" w:hAnsi="Helvetica Neue"/>
          <w:b w:val="false"/>
          <w:i w:val="false"/>
          <w:smallCaps w:val="false"/>
          <w:color w:val="000000"/>
          <w:sz w:val="24"/>
          <w:szCs w:val="24"/>
          <w:u w:val="none"/>
          <w:shd w:val="clear" w:color="auto" w:fill="auto"/>
          <w:vertAlign w:val="baseline"/>
        </w:rPr>
        <w:t>” è il servizio, erogato dal GSE, di ritiro dell’energia elettrica prodotta e immessa dagli impianti di produzione e disciplinato secondo le modalità e le condizioni regolatorie di cui alla deliberazione 280/07 e al relativo Allegato A;</w:t>
      </w:r>
    </w:p>
    <w:p>
      <w:pPr>
        <w:pStyle w:val="style0"/>
        <w:keepNext w:val="false"/>
        <w:keepLines w:val="false"/>
        <w:pageBreakBefore w:val="false"/>
        <w:widowControl/>
        <w:numPr>
          <w:ilvl w:val="0"/>
          <w:numId w:val="7"/>
        </w:numPr>
        <w:pBdr>
          <w:left w:val="nil"/>
          <w:right w:val="nil"/>
          <w:top w:val="nil"/>
          <w:bottom w:val="nil"/>
          <w:between w:val="nil"/>
        </w:pBdr>
        <w:shd w:val="clear" w:color="auto" w:fill="auto"/>
        <w:spacing w:before="0" w:after="0" w:lineRule="auto" w:line="360"/>
        <w:ind w:left="720"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val="false"/>
          <w:i w:val="false"/>
          <w:smallCaps w:val="false"/>
          <w:color w:val="000000"/>
          <w:sz w:val="24"/>
          <w:szCs w:val="24"/>
          <w:u w:val="none"/>
          <w:shd w:val="clear" w:color="auto" w:fill="auto"/>
          <w:vertAlign w:val="baseline"/>
        </w:rPr>
        <w:t xml:space="preserve"> “</w:t>
      </w:r>
      <w:r>
        <w:rPr>
          <w:rFonts w:ascii="Helvetica Neue" w:cs="Helvetica Neue" w:eastAsia="Helvetica Neue" w:hAnsi="Helvetica Neue"/>
          <w:b/>
          <w:i w:val="false"/>
          <w:smallCaps w:val="false"/>
          <w:color w:val="000000"/>
          <w:sz w:val="24"/>
          <w:szCs w:val="24"/>
          <w:u w:val="none"/>
          <w:shd w:val="clear" w:color="auto" w:fill="auto"/>
          <w:vertAlign w:val="baseline"/>
        </w:rPr>
        <w:t>Servizio di valorizzazione e incentivazione dell’energia elettrica autoconsumata</w:t>
      </w:r>
      <w:r>
        <w:rPr>
          <w:rFonts w:ascii="Helvetica Neue" w:cs="Helvetica Neue" w:eastAsia="Helvetica Neue" w:hAnsi="Helvetica Neue"/>
          <w:b w:val="false"/>
          <w:i w:val="false"/>
          <w:smallCaps w:val="false"/>
          <w:color w:val="000000"/>
          <w:sz w:val="24"/>
          <w:szCs w:val="24"/>
          <w:u w:val="none"/>
          <w:shd w:val="clear" w:color="auto" w:fill="auto"/>
          <w:vertAlign w:val="baseline"/>
        </w:rPr>
        <w:t>” è il servizio erogato dal GSE per le comunità di energia rinnovabile che rispettano i requisiti di cui al decreto-legge 199/21;</w:t>
      </w:r>
    </w:p>
    <w:p>
      <w:pPr>
        <w:pStyle w:val="style0"/>
        <w:spacing w:lineRule="auto" w:line="479"/>
        <w:rPr>
          <w:rFonts w:ascii="Helvetica Neue" w:cs="Helvetica Neue" w:eastAsia="Helvetica Neue" w:hAnsi="Helvetica Neue"/>
          <w:b/>
        </w:rPr>
      </w:pPr>
    </w:p>
    <w:p>
      <w:pPr>
        <w:pStyle w:val="style0"/>
        <w:spacing w:lineRule="auto" w:line="479"/>
        <w:rPr>
          <w:rFonts w:ascii="Helvetica Neue" w:cs="Helvetica Neue" w:eastAsia="Helvetica Neue" w:hAnsi="Helvetica Neue"/>
        </w:rPr>
      </w:pPr>
      <w:r>
        <w:rPr>
          <w:rFonts w:ascii="Helvetica Neue" w:cs="Helvetica Neue" w:eastAsia="Helvetica Neue" w:hAnsi="Helvetica Neue"/>
          <w:b/>
        </w:rPr>
        <w:t>Articolo 2- Oggetto</w:t>
      </w:r>
    </w:p>
    <w:p>
      <w:pPr>
        <w:pStyle w:val="style0"/>
        <w:numPr>
          <w:ilvl w:val="0"/>
          <w:numId w:val="8"/>
        </w:numPr>
        <w:spacing w:lineRule="auto" w:line="360"/>
        <w:ind w:left="468" w:hanging="360"/>
        <w:jc w:val="both"/>
        <w:rPr>
          <w:rFonts w:ascii="Times" w:cs="Times" w:eastAsia="Times" w:hAnsi="Times"/>
        </w:rPr>
      </w:pPr>
      <w:r>
        <w:rPr>
          <w:rFonts w:ascii="Helvetica Neue" w:cs="Helvetica Neue" w:eastAsia="Helvetica Neue" w:hAnsi="Helvetica Neue"/>
        </w:rPr>
        <w:t>In esecuzione dello Statuto Sociale, è approvato il Regolamento riguardante la destinazione e l’utilizzo degli Importi derivanti dall’Autoconsumo dell’Energia e degli Importi derivanti dalla Vendita dell’Energia</w:t>
      </w:r>
      <w:r>
        <w:rPr>
          <w:rFonts w:ascii="Times" w:cs="Times" w:eastAsia="Times" w:hAnsi="Times"/>
        </w:rPr>
        <w:t>.</w:t>
      </w:r>
    </w:p>
    <w:p>
      <w:pPr>
        <w:pStyle w:val="style0"/>
        <w:numPr>
          <w:ilvl w:val="0"/>
          <w:numId w:val="8"/>
        </w:numPr>
        <w:spacing w:lineRule="auto" w:line="360"/>
        <w:ind w:left="468" w:hanging="360"/>
        <w:jc w:val="both"/>
        <w:rPr>
          <w:rFonts w:ascii="Times" w:cs="Times" w:eastAsia="Times" w:hAnsi="Times"/>
        </w:rPr>
      </w:pPr>
      <w:r>
        <w:rPr>
          <w:rFonts w:ascii="Helvetica Neue" w:cs="Helvetica Neue" w:eastAsia="Helvetica Neue" w:hAnsi="Helvetica Neue"/>
        </w:rPr>
        <w:t xml:space="preserve">La Comunità potrà detenere, per i fini di cui all’art. 31 del D.lgs 199/2021, ai sensi dell’art. 3.4, lett. F) dell’Allegato A alla Delibera n. 727/2022 dell’Autorità di Regolazione Reti e Ambiente, impianti di Soci della Comunità ovvero, ove consentito, di terzi a condizione che questi ultimi sottoscrivano il presente Regolamento per accettazione. </w:t>
      </w:r>
    </w:p>
    <w:p>
      <w:pPr>
        <w:pStyle w:val="style0"/>
        <w:numPr>
          <w:ilvl w:val="0"/>
          <w:numId w:val="8"/>
        </w:numPr>
        <w:spacing w:lineRule="auto" w:line="360"/>
        <w:ind w:left="468" w:hanging="360"/>
        <w:jc w:val="both"/>
        <w:rPr>
          <w:rFonts w:ascii="Times" w:cs="Times" w:eastAsia="Times" w:hAnsi="Times"/>
        </w:rPr>
      </w:pPr>
      <w:r>
        <w:rPr>
          <w:rFonts w:ascii="Helvetica Neue" w:cs="Helvetica Neue" w:eastAsia="Helvetica Neue" w:hAnsi="Helvetica Neue"/>
        </w:rPr>
        <w:t>La Comunità è mandataria di tutti i soci per la richiesta di accesso alla valorizzazione e incentivazione dell’energia elettrica condivisa secondo quanto previsto dall’art. 3.4 dell’Allegato A alla Delibera n. 727/2022 di ARERA</w:t>
      </w:r>
    </w:p>
    <w:p>
      <w:pPr>
        <w:pStyle w:val="style0"/>
        <w:spacing w:lineRule="auto" w:line="479"/>
        <w:ind w:left="468" w:firstLine="0"/>
        <w:jc w:val="both"/>
        <w:rPr>
          <w:rFonts w:ascii="Helvetica Neue" w:cs="Helvetica Neue" w:eastAsia="Helvetica Neue" w:hAnsi="Helvetica Neue"/>
        </w:rPr>
      </w:pPr>
    </w:p>
    <w:p>
      <w:pPr>
        <w:pStyle w:val="style0"/>
        <w:spacing w:lineRule="auto" w:line="479"/>
        <w:ind w:left="108" w:firstLine="0"/>
        <w:jc w:val="both"/>
        <w:rPr>
          <w:rFonts w:ascii="Helvetica Neue" w:cs="Helvetica Neue" w:eastAsia="Helvetica Neue" w:hAnsi="Helvetica Neue"/>
        </w:rPr>
      </w:pPr>
    </w:p>
    <w:p>
      <w:pPr>
        <w:pStyle w:val="style0"/>
        <w:spacing w:lineRule="auto" w:line="479"/>
        <w:ind w:left="108" w:firstLine="0"/>
        <w:jc w:val="both"/>
        <w:rPr>
          <w:rFonts w:ascii="Helvetica Neue" w:cs="Helvetica Neue" w:eastAsia="Helvetica Neue" w:hAnsi="Helvetica Neue"/>
        </w:rPr>
      </w:pPr>
      <w:r>
        <w:rPr>
          <w:rFonts w:ascii="Helvetica Neue" w:cs="Helvetica Neue" w:eastAsia="Helvetica Neue" w:hAnsi="Helvetica Neue"/>
          <w:b/>
        </w:rPr>
        <w:t>Articolo 3 – Destinazione degli Importi derivanti dall’Autoconsumo dell’Energia</w:t>
      </w:r>
    </w:p>
    <w:p>
      <w:pPr>
        <w:pStyle w:val="style0"/>
        <w:numPr>
          <w:ilvl w:val="0"/>
          <w:numId w:val="9"/>
        </w:numPr>
        <w:spacing w:lineRule="auto" w:line="479"/>
        <w:ind w:left="465" w:hanging="360"/>
        <w:jc w:val="both"/>
        <w:rPr>
          <w:rFonts w:ascii="Helvetica Neue" w:cs="Helvetica Neue" w:eastAsia="Helvetica Neue" w:hAnsi="Helvetica Neue"/>
        </w:rPr>
      </w:pPr>
      <w:r>
        <w:rPr>
          <w:rFonts w:ascii="Helvetica Neue" w:cs="Helvetica Neue" w:eastAsia="Helvetica Neue" w:hAnsi="Helvetica Neue"/>
        </w:rPr>
        <w:t>Gli Importi derivanti dall’Autoconsumo dell’Energia della Comunità saranno destinati:</w:t>
      </w:r>
    </w:p>
    <w:p>
      <w:pPr>
        <w:pStyle w:val="style0"/>
        <w:numPr>
          <w:ilvl w:val="0"/>
          <w:numId w:val="10"/>
        </w:numPr>
        <w:spacing w:lineRule="auto" w:line="479"/>
        <w:ind w:left="1428" w:hanging="720"/>
        <w:jc w:val="both"/>
        <w:rPr>
          <w:rFonts w:ascii="Helvetica Neue" w:cs="Helvetica Neue" w:eastAsia="Helvetica Neue" w:hAnsi="Helvetica Neue"/>
        </w:rPr>
      </w:pPr>
      <w:r>
        <w:rPr>
          <w:rFonts w:ascii="Helvetica Neue" w:cs="Helvetica Neue" w:eastAsia="Helvetica Neue" w:hAnsi="Helvetica Neue"/>
        </w:rPr>
        <w:t>a progetti finalizzati alla lotta alla povertà e alla disuguaglianza sul proprio territorio di appartenenza, secondo quanto stabilito dall’Assemblea dei Soci;</w:t>
      </w:r>
    </w:p>
    <w:p>
      <w:pPr>
        <w:pStyle w:val="style0"/>
        <w:numPr>
          <w:ilvl w:val="0"/>
          <w:numId w:val="10"/>
        </w:numPr>
        <w:spacing w:lineRule="auto" w:line="479"/>
        <w:ind w:left="1428" w:hanging="720"/>
        <w:jc w:val="both"/>
        <w:rPr>
          <w:rFonts w:ascii="Helvetica Neue" w:cs="Helvetica Neue" w:eastAsia="Helvetica Neue" w:hAnsi="Helvetica Neue"/>
        </w:rPr>
      </w:pPr>
      <w:r>
        <w:rPr>
          <w:rFonts w:ascii="Helvetica Neue" w:cs="Helvetica Neue" w:eastAsia="Helvetica Neue" w:hAnsi="Helvetica Neue"/>
        </w:rPr>
        <w:t>a progetti di conservazione della natura e salvaguardia dell’ambiente, secondo quanto stabilito dall’Assemblea dei Soci;</w:t>
      </w:r>
    </w:p>
    <w:p>
      <w:pPr>
        <w:pStyle w:val="style0"/>
        <w:numPr>
          <w:ilvl w:val="0"/>
          <w:numId w:val="10"/>
        </w:numPr>
        <w:spacing w:lineRule="auto" w:line="479"/>
        <w:ind w:left="1428" w:hanging="720"/>
        <w:jc w:val="both"/>
        <w:rPr>
          <w:rFonts w:ascii="Helvetica Neue" w:cs="Helvetica Neue" w:eastAsia="Helvetica Neue" w:hAnsi="Helvetica Neue"/>
        </w:rPr>
      </w:pPr>
      <w:r>
        <w:rPr>
          <w:rFonts w:ascii="Helvetica Neue" w:cs="Helvetica Neue" w:eastAsia="Helvetica Neue" w:hAnsi="Helvetica Neue"/>
        </w:rPr>
        <w:t>alla copertura dei costi amministrativi definiti nelle Regole tecniche del GSE e fatturati dallo stesso e degli altri costi operativi di funzionamento della Comunità. Le somme spettanti al GSE sono dovute su base annua e riconosciute al GSE mediante compensazione delle somme erogate.</w:t>
      </w:r>
    </w:p>
    <w:p>
      <w:pPr>
        <w:pStyle w:val="style0"/>
        <w:numPr>
          <w:ilvl w:val="0"/>
          <w:numId w:val="10"/>
        </w:numPr>
        <w:spacing w:lineRule="auto" w:line="479"/>
        <w:ind w:left="1428" w:hanging="720"/>
        <w:jc w:val="both"/>
        <w:rPr>
          <w:rFonts w:ascii="Helvetica Neue" w:cs="Helvetica Neue" w:eastAsia="Helvetica Neue" w:hAnsi="Helvetica Neue"/>
        </w:rPr>
      </w:pPr>
      <w:r>
        <w:rPr>
          <w:rFonts w:cs="Helvetica Neue" w:eastAsia="Helvetica Neue" w:hAnsi="Helvetica Neue"/>
          <w:lang w:val="en-US"/>
        </w:rPr>
        <w:t xml:space="preserve">Dopo un anno di produzione le configurazioni possono chiedere autonomia  nel finanziare annualmente progetti di iniziativa propria sottoponendo la richiesta all’associazione. </w:t>
      </w:r>
    </w:p>
    <w:p>
      <w:pPr>
        <w:pStyle w:val="style0"/>
        <w:numPr>
          <w:ilvl w:val="0"/>
          <w:numId w:val="10"/>
        </w:numPr>
        <w:spacing w:lineRule="auto" w:line="479"/>
        <w:ind w:left="1428" w:hanging="720"/>
        <w:jc w:val="both"/>
        <w:rPr>
          <w:rFonts w:ascii="Helvetica Neue" w:cs="Helvetica Neue" w:eastAsia="Helvetica Neue" w:hAnsi="Helvetica Neue"/>
        </w:rPr>
      </w:pPr>
      <w:r>
        <w:rPr>
          <w:rFonts w:cs="Helvetica Neue" w:eastAsia="Helvetica Neue" w:hAnsi="Helvetica Neue"/>
          <w:lang w:val="en-US"/>
        </w:rPr>
        <w:t>Gli incentivi si ripartiscono orientativamente in base ai KWp di ogni configurazione.</w:t>
      </w:r>
    </w:p>
    <w:p>
      <w:pPr>
        <w:pStyle w:val="style0"/>
        <w:numPr>
          <w:ilvl w:val="0"/>
          <w:numId w:val="10"/>
        </w:numPr>
        <w:spacing w:lineRule="auto" w:line="479"/>
        <w:ind w:left="1428" w:hanging="720"/>
        <w:jc w:val="both"/>
        <w:rPr>
          <w:rFonts w:ascii="Helvetica Neue" w:cs="Helvetica Neue" w:eastAsia="Helvetica Neue" w:hAnsi="Helvetica Neue"/>
        </w:rPr>
      </w:pPr>
      <w:r>
        <w:rPr>
          <w:rFonts w:cs="Helvetica Neue" w:eastAsia="Helvetica Neue" w:hAnsi="Helvetica Neue"/>
          <w:lang w:val="en-US"/>
        </w:rPr>
        <w:t xml:space="preserve">Almeno una volta all’anno un membro di ogni configurazione deve  partecipare all’assemblea dei soci  per condividere l’esperienza della propria realtà e proporre iniziative territoriali da finanziare. In assenza di rappresentanza non saranno prese in esame le proposte delle configurazioni. </w:t>
      </w:r>
    </w:p>
    <w:p>
      <w:pPr>
        <w:pStyle w:val="style0"/>
        <w:numPr>
          <w:ilvl w:val="0"/>
          <w:numId w:val="9"/>
        </w:numPr>
        <w:spacing w:lineRule="auto" w:line="479"/>
        <w:ind w:left="465" w:hanging="360"/>
        <w:jc w:val="both"/>
        <w:rPr>
          <w:rFonts w:ascii="Helvetica Neue" w:cs="Helvetica Neue" w:eastAsia="Helvetica Neue" w:hAnsi="Helvetica Neue"/>
        </w:rPr>
      </w:pPr>
      <w:r>
        <w:rPr>
          <w:rFonts w:ascii="Helvetica Neue" w:cs="Helvetica Neue" w:eastAsia="Helvetica Neue" w:hAnsi="Helvetica Neue"/>
        </w:rPr>
        <w:t>La Destinazione degli Importi derivanti dall’Autoconsumo dell’Energia della Comunità, di cui all’art.3 (i e ii) sarà effettuata tramite versamenti annuali da parte della Comunità, in conformità al regime fiscale di volta in volta applicabile.</w:t>
      </w:r>
    </w:p>
    <w:p>
      <w:pPr>
        <w:pStyle w:val="style0"/>
        <w:numPr>
          <w:ilvl w:val="0"/>
          <w:numId w:val="9"/>
        </w:numPr>
        <w:spacing w:lineRule="auto" w:line="479"/>
        <w:ind w:left="465" w:hanging="360"/>
        <w:jc w:val="both"/>
        <w:rPr>
          <w:rFonts w:ascii="Helvetica Neue" w:cs="Helvetica Neue" w:eastAsia="Helvetica Neue" w:hAnsi="Helvetica Neue"/>
        </w:rPr>
      </w:pPr>
      <w:r>
        <w:rPr>
          <w:rFonts w:ascii="Helvetica Neue" w:cs="Helvetica Neue" w:eastAsia="Helvetica Neue" w:hAnsi="Helvetica Neue"/>
        </w:rPr>
        <w:t>La Comunità provvederà su base annuale a inoltrare ai membri:</w:t>
      </w:r>
    </w:p>
    <w:p>
      <w:pPr>
        <w:pStyle w:val="style0"/>
        <w:numPr>
          <w:ilvl w:val="0"/>
          <w:numId w:val="2"/>
        </w:numPr>
        <w:spacing w:lineRule="auto" w:line="479"/>
        <w:ind w:left="1185" w:hanging="720"/>
        <w:jc w:val="both"/>
        <w:rPr>
          <w:rFonts w:ascii="Helvetica Neue" w:cs="Helvetica Neue" w:eastAsia="Helvetica Neue" w:hAnsi="Helvetica Neue"/>
        </w:rPr>
      </w:pPr>
      <w:r>
        <w:rPr>
          <w:rFonts w:ascii="Helvetica Neue" w:cs="Helvetica Neue" w:eastAsia="Helvetica Neue" w:hAnsi="Helvetica Neue"/>
        </w:rPr>
        <w:t>il rendiconto relativo agli Importi derivanti dall’Autoconsumo dell’Energia ricevuti dal GSE in forza del Servizio di Incentivazione e Valorizzazione (il “</w:t>
      </w:r>
      <w:r>
        <w:rPr>
          <w:rFonts w:ascii="Helvetica Neue" w:cs="Helvetica Neue" w:eastAsia="Helvetica Neue" w:hAnsi="Helvetica Neue"/>
          <w:b/>
        </w:rPr>
        <w:t>Rendiconto</w:t>
      </w:r>
      <w:r>
        <w:rPr>
          <w:rFonts w:ascii="Helvetica Neue" w:cs="Helvetica Neue" w:eastAsia="Helvetica Neue" w:hAnsi="Helvetica Neue"/>
        </w:rPr>
        <w:t xml:space="preserve">”); </w:t>
      </w:r>
    </w:p>
    <w:p>
      <w:pPr>
        <w:pStyle w:val="style0"/>
        <w:numPr>
          <w:ilvl w:val="0"/>
          <w:numId w:val="2"/>
        </w:numPr>
        <w:spacing w:lineRule="auto" w:line="479"/>
        <w:ind w:left="1185" w:hanging="720"/>
        <w:jc w:val="both"/>
        <w:rPr>
          <w:rFonts w:ascii="Helvetica Neue" w:cs="Helvetica Neue" w:eastAsia="Helvetica Neue" w:hAnsi="Helvetica Neue"/>
        </w:rPr>
      </w:pPr>
      <w:r>
        <w:rPr>
          <w:rFonts w:ascii="Helvetica Neue" w:cs="Helvetica Neue" w:eastAsia="Helvetica Neue" w:hAnsi="Helvetica Neue"/>
        </w:rPr>
        <w:t>un report dove si evinca la destinazione degli Importi derivanti dall’Autoconsumo dell’Energia spettante a ciascun progetto ai sensi del presente Articolo,</w:t>
      </w:r>
    </w:p>
    <w:p>
      <w:pPr>
        <w:pStyle w:val="style0"/>
        <w:spacing w:lineRule="auto" w:line="479"/>
        <w:ind w:left="465" w:firstLine="0"/>
        <w:jc w:val="both"/>
        <w:rPr>
          <w:rFonts w:ascii="Helvetica Neue" w:cs="Helvetica Neue" w:eastAsia="Helvetica Neue" w:hAnsi="Helvetica Neue"/>
        </w:rPr>
      </w:pPr>
      <w:r>
        <w:rPr>
          <w:rFonts w:ascii="Helvetica Neue" w:cs="Helvetica Neue" w:eastAsia="Helvetica Neue" w:hAnsi="Helvetica Neue"/>
        </w:rPr>
        <w:t xml:space="preserve">Qualora il Rendiconto e il Report non siano contestati entro dieci giorni dal ricevimento da parte dei membri, si considereranno approvati. </w:t>
      </w:r>
    </w:p>
    <w:p>
      <w:pPr>
        <w:pStyle w:val="style0"/>
        <w:spacing w:lineRule="auto" w:line="360"/>
        <w:ind w:left="108" w:firstLine="0"/>
        <w:jc w:val="both"/>
        <w:rPr>
          <w:rFonts w:ascii="Helvetica Neue" w:cs="Helvetica Neue" w:eastAsia="Helvetica Neue" w:hAnsi="Helvetica Neue"/>
          <w:b/>
        </w:rPr>
      </w:pPr>
    </w:p>
    <w:p>
      <w:pPr>
        <w:pStyle w:val="style0"/>
        <w:spacing w:lineRule="auto" w:line="360"/>
        <w:ind w:left="108" w:firstLine="0"/>
        <w:jc w:val="both"/>
        <w:rPr>
          <w:rFonts w:ascii="Helvetica Neue" w:cs="Helvetica Neue" w:eastAsia="Helvetica Neue" w:hAnsi="Helvetica Neue"/>
          <w:b/>
        </w:rPr>
      </w:pPr>
      <w:r>
        <w:rPr>
          <w:rFonts w:ascii="Helvetica Neue" w:cs="Helvetica Neue" w:eastAsia="Helvetica Neue" w:hAnsi="Helvetica Neue"/>
          <w:b/>
        </w:rPr>
        <w:t xml:space="preserve">Articolo 4 – Destinazione degli Importi derivanti dalla Vendita dell’Energia </w:t>
      </w:r>
    </w:p>
    <w:p>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0" w:lineRule="auto" w:line="360"/>
        <w:ind w:left="828" w:right="0" w:hanging="360"/>
        <w:jc w:val="both"/>
        <w:rPr>
          <w:rFonts w:ascii="Helvetica Neue" w:cs="Helvetica Neue" w:eastAsia="Helvetica Neue" w:hAnsi="Helvetica Neue"/>
          <w:b w:val="false"/>
          <w:i w:val="false"/>
          <w:smallCaps w:val="false"/>
          <w:color w:val="000000"/>
          <w:sz w:val="24"/>
          <w:szCs w:val="24"/>
          <w:u w:val="none"/>
          <w:shd w:val="clear" w:color="auto" w:fill="auto"/>
          <w:vertAlign w:val="baseline"/>
        </w:rPr>
      </w:pPr>
      <w:r>
        <w:rPr>
          <w:rFonts w:ascii="Helvetica Neue" w:cs="Helvetica Neue" w:eastAsia="Helvetica Neue" w:hAnsi="Helvetica Neue"/>
          <w:b w:val="false"/>
          <w:i w:val="false"/>
          <w:smallCaps w:val="false"/>
          <w:color w:val="000000"/>
          <w:sz w:val="24"/>
          <w:szCs w:val="24"/>
          <w:u w:val="none"/>
          <w:shd w:val="clear" w:color="auto" w:fill="auto"/>
          <w:vertAlign w:val="baseline"/>
        </w:rPr>
        <w:t>L'intera energia prodotta e immessa in rete resta nella disponibilità del produttore, con facoltà di cessione al GSE con le modalità di cui all'articolo 13, comma 3, del decreto legislativo n. 387 del 2003.</w:t>
      </w:r>
    </w:p>
    <w:p>
      <w:pPr>
        <w:pStyle w:val="style0"/>
        <w:spacing w:lineRule="auto" w:line="479"/>
        <w:ind w:left="105" w:firstLine="0"/>
        <w:rPr>
          <w:rFonts w:ascii="Helvetica Neue" w:cs="Helvetica Neue" w:eastAsia="Helvetica Neue" w:hAnsi="Helvetica Neue"/>
          <w:b/>
        </w:rPr>
      </w:pPr>
      <w:r>
        <w:rPr>
          <w:rFonts w:ascii="Helvetica Neue" w:cs="Helvetica Neue" w:eastAsia="Helvetica Neue" w:hAnsi="Helvetica Neue"/>
          <w:b/>
        </w:rPr>
        <w:t>Art. 5 – Adozione</w:t>
      </w:r>
    </w:p>
    <w:p>
      <w:pPr>
        <w:pStyle w:val="style0"/>
        <w:numPr>
          <w:ilvl w:val="0"/>
          <w:numId w:val="3"/>
        </w:numPr>
        <w:spacing w:lineRule="auto" w:line="479"/>
        <w:ind w:left="465" w:hanging="360"/>
        <w:jc w:val="both"/>
        <w:rPr>
          <w:rFonts w:ascii="Helvetica Neue" w:cs="Helvetica Neue" w:eastAsia="Helvetica Neue" w:hAnsi="Helvetica Neue"/>
        </w:rPr>
      </w:pPr>
      <w:r>
        <w:rPr>
          <w:rFonts w:ascii="Helvetica Neue" w:cs="Helvetica Neue" w:eastAsia="Helvetica Neue" w:hAnsi="Helvetica Neue"/>
        </w:rPr>
        <w:t>Il presente Regolamento è stato adottato nella seduta del</w:t>
      </w:r>
      <w:r>
        <w:rPr>
          <w:rFonts w:ascii="Helvetica Neue" w:cs="Helvetica Neue" w:eastAsia="Helvetica Neue" w:hAnsi="Helvetica Neue"/>
        </w:rPr>
        <w:t xml:space="preserve"> ________________</w:t>
      </w:r>
    </w:p>
    <w:p>
      <w:pPr>
        <w:pStyle w:val="style0"/>
        <w:numPr>
          <w:ilvl w:val="0"/>
          <w:numId w:val="3"/>
        </w:numPr>
        <w:spacing w:lineRule="auto" w:line="479"/>
        <w:ind w:left="465" w:hanging="360"/>
        <w:jc w:val="both"/>
        <w:rPr>
          <w:rFonts w:ascii="Helvetica Neue" w:cs="Helvetica Neue" w:eastAsia="Helvetica Neue" w:hAnsi="Helvetica Neue"/>
        </w:rPr>
      </w:pPr>
      <w:r>
        <w:rPr>
          <w:rFonts w:ascii="Helvetica Neue" w:cs="Helvetica Neue" w:eastAsia="Helvetica Neue" w:hAnsi="Helvetica Neue"/>
        </w:rPr>
        <w:t>I Produttori non Soci i cui impianti sono detenuti dalla Comunità per le finalità di cui all’art. 31 del D.lgs 199/2021 sottoscrivono il presente Regolamento per accettazione espressa delle clausole in esso contenute.</w:t>
      </w:r>
    </w:p>
    <w:p>
      <w:pPr>
        <w:pStyle w:val="style0"/>
        <w:rPr>
          <w:rFonts w:ascii="Helvetica Neue" w:cs="Helvetica Neue" w:eastAsia="Helvetica Neue" w:hAnsi="Helvetica Neue"/>
        </w:rPr>
      </w:pPr>
      <w:r>
        <w:br w:type="page"/>
      </w:r>
    </w:p>
    <w:p>
      <w:pPr>
        <w:pStyle w:val="style0"/>
        <w:rPr>
          <w:rFonts w:ascii="Helvetica Neue" w:cs="Helvetica Neue" w:eastAsia="Helvetica Neue" w:hAnsi="Helvetica Neue"/>
        </w:rPr>
      </w:pPr>
    </w:p>
    <w:sectPr>
      <w:headerReference w:type="even" r:id="rId2"/>
      <w:headerReference w:type="default" r:id="rId3"/>
      <w:footerReference w:type="even" r:id="rId4"/>
      <w:footerReference w:type="default" r:id="rId5"/>
      <w:headerReference w:type="first" r:id="rId6"/>
      <w:pgSz w:w="11900" w:h="16840" w:orient="portrait"/>
      <w:pgMar w:top="1417" w:right="1134" w:bottom="1134" w:left="1134" w:header="708" w:footer="708"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keepNext w:val="false"/>
      <w:keepLines w:val="false"/>
      <w:pageBreakBefore w:val="false"/>
      <w:widowControl/>
      <w:pBdr>
        <w:left w:val="nil"/>
        <w:right w:val="nil"/>
        <w:top w:val="nil"/>
        <w:bottom w:val="nil"/>
        <w:between w:val="nil"/>
      </w:pBdr>
      <w:shd w:val="clear" w:color="auto" w:fill="auto"/>
      <w:tabs>
        <w:tab w:val="center" w:leader="none" w:pos="4819"/>
        <w:tab w:val="right" w:leader="none" w:pos="9638"/>
      </w:tabs>
      <w:spacing w:before="0" w:after="0" w:lineRule="auto" w:line="240"/>
      <w:ind w:left="0" w:right="0" w:firstLine="0"/>
      <w:jc w:val="left"/>
      <w:rPr>
        <w:rFonts w:ascii="Calibri" w:cs="Calibri" w:eastAsia="Calibri" w:hAnsi="Calibri"/>
        <w:b w:val="false"/>
        <w:i w:val="false"/>
        <w:smallCaps w:val="false"/>
        <w:color w:val="000000"/>
        <w:sz w:val="24"/>
        <w:szCs w:val="24"/>
        <w:u w:val="none"/>
        <w:shd w:val="clear" w:color="auto" w:fill="auto"/>
        <w:vertAlign w:val="baseline"/>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keepNext w:val="false"/>
      <w:keepLines w:val="false"/>
      <w:pageBreakBefore w:val="false"/>
      <w:widowControl w:val="false"/>
      <w:pBdr>
        <w:left w:val="nil"/>
        <w:right w:val="nil"/>
        <w:top w:val="nil"/>
        <w:bottom w:val="nil"/>
        <w:between w:val="nil"/>
      </w:pBdr>
      <w:shd w:val="clear" w:color="auto" w:fill="auto"/>
      <w:spacing w:before="0" w:after="0" w:lineRule="auto" w:line="14"/>
      <w:ind w:left="0" w:right="0" w:firstLine="0"/>
      <w:jc w:val="left"/>
      <w:rPr>
        <w:rFonts w:ascii="Arial" w:cs="Arial" w:eastAsia="Arial" w:hAnsi="Arial"/>
        <w:b w:val="false"/>
        <w:i w:val="false"/>
        <w:smallCaps w:val="false"/>
        <w:color w:val="000000"/>
        <w:sz w:val="20"/>
        <w:szCs w:val="20"/>
        <w:u w:val="none"/>
        <w:shd w:val="clear" w:color="auto" w:fill="auto"/>
        <w:vertAlign w:val="baseline"/>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keepNext w:val="false"/>
      <w:keepLines w:val="false"/>
      <w:pageBreakBefore w:val="false"/>
      <w:widowControl/>
      <w:pBdr>
        <w:left w:val="nil"/>
        <w:right w:val="nil"/>
        <w:top w:val="nil"/>
        <w:bottom w:val="nil"/>
        <w:between w:val="nil"/>
      </w:pBdr>
      <w:shd w:val="clear" w:color="auto" w:fill="auto"/>
      <w:tabs>
        <w:tab w:val="center" w:leader="none" w:pos="4819"/>
        <w:tab w:val="right" w:leader="none" w:pos="9638"/>
      </w:tabs>
      <w:spacing w:before="0" w:after="0" w:lineRule="auto" w:line="240"/>
      <w:ind w:left="0" w:right="0" w:firstLine="0"/>
      <w:jc w:val="left"/>
      <w:rPr>
        <w:rFonts w:ascii="Calibri" w:cs="Calibri" w:eastAsia="Calibri" w:hAnsi="Calibri"/>
        <w:b w:val="false"/>
        <w:i w:val="false"/>
        <w:smallCaps w:val="false"/>
        <w:color w:val="000000"/>
        <w:sz w:val="24"/>
        <w:szCs w:val="24"/>
        <w:u w:val="none"/>
        <w:shd w:val="clear" w:color="auto" w:fill="auto"/>
        <w:vertAlign w:val="baseline"/>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keepNext w:val="false"/>
      <w:keepLines w:val="false"/>
      <w:pageBreakBefore w:val="false"/>
      <w:widowControl w:val="false"/>
      <w:pBdr>
        <w:left w:val="nil"/>
        <w:right w:val="nil"/>
        <w:top w:val="nil"/>
        <w:bottom w:val="nil"/>
        <w:between w:val="nil"/>
      </w:pBdr>
      <w:shd w:val="clear" w:color="auto" w:fill="auto"/>
      <w:spacing w:before="0" w:after="0" w:lineRule="auto" w:line="14"/>
      <w:ind w:left="0" w:right="0" w:firstLine="0"/>
      <w:jc w:val="left"/>
      <w:rPr>
        <w:rFonts w:ascii="Arial" w:cs="Arial" w:eastAsia="Arial" w:hAnsi="Arial"/>
        <w:b w:val="false"/>
        <w:i w:val="false"/>
        <w:smallCaps w:val="false"/>
        <w:color w:val="000000"/>
        <w:sz w:val="20"/>
        <w:szCs w:val="20"/>
        <w:u w:val="none"/>
        <w:shd w:val="clear" w:color="auto" w:fill="auto"/>
        <w:vertAlign w:val="baseline"/>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keepNext w:val="false"/>
      <w:keepLines w:val="false"/>
      <w:pageBreakBefore w:val="false"/>
      <w:widowControl/>
      <w:pBdr>
        <w:left w:val="nil"/>
        <w:right w:val="nil"/>
        <w:top w:val="nil"/>
        <w:bottom w:val="nil"/>
        <w:between w:val="nil"/>
      </w:pBdr>
      <w:shd w:val="clear" w:color="auto" w:fill="auto"/>
      <w:tabs>
        <w:tab w:val="center" w:leader="none" w:pos="4819"/>
        <w:tab w:val="right" w:leader="none" w:pos="9638"/>
      </w:tabs>
      <w:spacing w:before="0" w:after="0" w:lineRule="auto" w:line="240"/>
      <w:ind w:left="0" w:right="0" w:firstLine="0"/>
      <w:jc w:val="left"/>
      <w:rPr>
        <w:rFonts w:ascii="Calibri" w:cs="Calibri" w:eastAsia="Calibri" w:hAnsi="Calibri"/>
        <w:b w:val="false"/>
        <w:i w:val="false"/>
        <w:smallCaps w:val="false"/>
        <w:color w:val="000000"/>
        <w:sz w:val="24"/>
        <w:szCs w:val="24"/>
        <w:u w:val="none"/>
        <w:shd w:val="clear" w:color="auto"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lowerRoman"/>
      <w:lvlText w:val="%1."/>
      <w:lvlJc w:val="left"/>
      <w:pPr>
        <w:ind w:left="720" w:hanging="360"/>
      </w:pPr>
    </w:lvl>
    <w:lvl w:ilvl="1">
      <w:start w:val="0"/>
      <w:numFmt w:val="decimal"/>
      <w:lvlText w:val=""/>
      <w:lvlJc w:val="left"/>
      <w:pPr>
        <w:ind w:left="0" w:firstLine="0"/>
      </w:pPr>
    </w:lvl>
    <w:lvl w:ilvl="2">
      <w:start w:val="0"/>
      <w:numFmt w:val="decimal"/>
      <w:lvlText w:val=""/>
      <w:lvlJc w:val="left"/>
      <w:pPr>
        <w:ind w:left="0" w:firstLine="0"/>
      </w:pPr>
    </w:lvl>
    <w:lvl w:ilvl="3">
      <w:start w:val="0"/>
      <w:numFmt w:val="decimal"/>
      <w:lvlText w:val=""/>
      <w:lvlJc w:val="left"/>
      <w:pPr>
        <w:ind w:left="0" w:firstLine="0"/>
      </w:pPr>
    </w:lvl>
    <w:lvl w:ilvl="4">
      <w:start w:val="0"/>
      <w:numFmt w:val="decimal"/>
      <w:lvlText w:val=""/>
      <w:lvlJc w:val="left"/>
      <w:pPr>
        <w:ind w:left="0" w:firstLine="0"/>
      </w:pPr>
    </w:lvl>
    <w:lvl w:ilvl="5">
      <w:start w:val="0"/>
      <w:numFmt w:val="decimal"/>
      <w:lvlText w:val=""/>
      <w:lvlJc w:val="left"/>
      <w:pPr>
        <w:ind w:left="0" w:firstLine="0"/>
      </w:pPr>
    </w:lvl>
    <w:lvl w:ilvl="6">
      <w:start w:val="0"/>
      <w:numFmt w:val="decimal"/>
      <w:lvlText w:val=""/>
      <w:lvlJc w:val="left"/>
      <w:pPr>
        <w:ind w:left="0" w:firstLine="0"/>
      </w:pPr>
    </w:lvl>
    <w:lvl w:ilvl="7">
      <w:start w:val="0"/>
      <w:numFmt w:val="decimal"/>
      <w:lvlText w:val=""/>
      <w:lvlJc w:val="left"/>
      <w:pPr>
        <w:ind w:left="0" w:firstLine="0"/>
      </w:pPr>
    </w:lvl>
    <w:lvl w:ilvl="8">
      <w:start w:val="0"/>
      <w:numFmt w:val="decimal"/>
      <w:lvlText w:val=""/>
      <w:lvlJc w:val="left"/>
      <w:pPr>
        <w:ind w:left="0" w:firstLine="0"/>
      </w:pPr>
    </w:lvl>
  </w:abstractNum>
  <w:abstractNum w:abstractNumId="1">
    <w:nsid w:val="00000001"/>
    <w:multiLevelType w:val="multilevel"/>
    <w:tmpl w:val="FFFFFFFF"/>
    <w:lvl w:ilvl="0">
      <w:start w:val="1"/>
      <w:numFmt w:val="decimal"/>
      <w:lvlText w:val="%1."/>
      <w:lvlJc w:val="left"/>
      <w:pPr>
        <w:ind w:left="720" w:hanging="360"/>
      </w:pPr>
    </w:lvl>
    <w:lvl w:ilvl="1">
      <w:start w:val="0"/>
      <w:numFmt w:val="decimal"/>
      <w:lvlText w:val=""/>
      <w:lvlJc w:val="left"/>
      <w:pPr>
        <w:ind w:left="0" w:firstLine="0"/>
      </w:pPr>
    </w:lvl>
    <w:lvl w:ilvl="2">
      <w:start w:val="0"/>
      <w:numFmt w:val="decimal"/>
      <w:lvlText w:val=""/>
      <w:lvlJc w:val="left"/>
      <w:pPr>
        <w:ind w:left="0" w:firstLine="0"/>
      </w:pPr>
    </w:lvl>
    <w:lvl w:ilvl="3">
      <w:start w:val="0"/>
      <w:numFmt w:val="decimal"/>
      <w:lvlText w:val=""/>
      <w:lvlJc w:val="left"/>
      <w:pPr>
        <w:ind w:left="0" w:firstLine="0"/>
      </w:pPr>
    </w:lvl>
    <w:lvl w:ilvl="4">
      <w:start w:val="0"/>
      <w:numFmt w:val="decimal"/>
      <w:lvlText w:val=""/>
      <w:lvlJc w:val="left"/>
      <w:pPr>
        <w:ind w:left="0" w:firstLine="0"/>
      </w:pPr>
    </w:lvl>
    <w:lvl w:ilvl="5">
      <w:start w:val="0"/>
      <w:numFmt w:val="decimal"/>
      <w:lvlText w:val=""/>
      <w:lvlJc w:val="left"/>
      <w:pPr>
        <w:ind w:left="0" w:firstLine="0"/>
      </w:pPr>
    </w:lvl>
    <w:lvl w:ilvl="6">
      <w:start w:val="0"/>
      <w:numFmt w:val="decimal"/>
      <w:lvlText w:val=""/>
      <w:lvlJc w:val="left"/>
      <w:pPr>
        <w:ind w:left="0" w:firstLine="0"/>
      </w:pPr>
    </w:lvl>
    <w:lvl w:ilvl="7">
      <w:start w:val="0"/>
      <w:numFmt w:val="decimal"/>
      <w:lvlText w:val=""/>
      <w:lvlJc w:val="left"/>
      <w:pPr>
        <w:ind w:left="0" w:firstLine="0"/>
      </w:pPr>
    </w:lvl>
    <w:lvl w:ilvl="8">
      <w:start w:val="0"/>
      <w:numFmt w:val="decimal"/>
      <w:lvlText w:val=""/>
      <w:lvlJc w:val="left"/>
      <w:pPr>
        <w:ind w:left="0" w:firstLine="0"/>
      </w:pPr>
    </w:lvl>
  </w:abstractNum>
  <w:abstractNum w:abstractNumId="2">
    <w:nsid w:val="00000002"/>
    <w:multiLevelType w:val="multilevel"/>
    <w:tmpl w:val="FFFFFFFF"/>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000003"/>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00000004"/>
    <w:multiLevelType w:val="multilevel"/>
    <w:tmpl w:val="FFFFFFFF"/>
    <w:lvl w:ilvl="0">
      <w:start w:val="1"/>
      <w:numFmt w:val="decimal"/>
      <w:lvlText w:val="%1."/>
      <w:lvlJc w:val="left"/>
      <w:pPr>
        <w:ind w:left="828" w:hanging="360"/>
      </w:pPr>
    </w:lvl>
    <w:lvl w:ilvl="1">
      <w:start w:val="1"/>
      <w:numFmt w:val="lowerLetter"/>
      <w:lvlText w:val="%2."/>
      <w:lvlJc w:val="left"/>
      <w:pPr>
        <w:ind w:left="1548" w:hanging="360"/>
      </w:pPr>
    </w:lvl>
    <w:lvl w:ilvl="2">
      <w:start w:val="1"/>
      <w:numFmt w:val="lowerRoman"/>
      <w:lvlText w:val="%3."/>
      <w:lvlJc w:val="right"/>
      <w:pPr>
        <w:ind w:left="2268" w:hanging="180"/>
      </w:pPr>
    </w:lvl>
    <w:lvl w:ilvl="3">
      <w:start w:val="1"/>
      <w:numFmt w:val="decimal"/>
      <w:lvlText w:val="%4."/>
      <w:lvlJc w:val="left"/>
      <w:pPr>
        <w:ind w:left="2988" w:hanging="360"/>
      </w:pPr>
    </w:lvl>
    <w:lvl w:ilvl="4">
      <w:start w:val="1"/>
      <w:numFmt w:val="lowerLetter"/>
      <w:lvlText w:val="%5."/>
      <w:lvlJc w:val="left"/>
      <w:pPr>
        <w:ind w:left="3708" w:hanging="360"/>
      </w:pPr>
    </w:lvl>
    <w:lvl w:ilvl="5">
      <w:start w:val="1"/>
      <w:numFmt w:val="lowerRoman"/>
      <w:lvlText w:val="%6."/>
      <w:lvlJc w:val="right"/>
      <w:pPr>
        <w:ind w:left="4428" w:hanging="180"/>
      </w:pPr>
    </w:lvl>
    <w:lvl w:ilvl="6">
      <w:start w:val="1"/>
      <w:numFmt w:val="decimal"/>
      <w:lvlText w:val="%7."/>
      <w:lvlJc w:val="left"/>
      <w:pPr>
        <w:ind w:left="5148" w:hanging="360"/>
      </w:pPr>
    </w:lvl>
    <w:lvl w:ilvl="7">
      <w:start w:val="1"/>
      <w:numFmt w:val="lowerLetter"/>
      <w:lvlText w:val="%8."/>
      <w:lvlJc w:val="left"/>
      <w:pPr>
        <w:ind w:left="5868" w:hanging="360"/>
      </w:pPr>
    </w:lvl>
    <w:lvl w:ilvl="8">
      <w:start w:val="1"/>
      <w:numFmt w:val="lowerRoman"/>
      <w:lvlText w:val="%9."/>
      <w:lvlJc w:val="right"/>
      <w:pPr>
        <w:ind w:left="6588" w:hanging="180"/>
      </w:pPr>
    </w:lvl>
  </w:abstractNum>
  <w:abstractNum w:abstractNumId="5">
    <w:nsid w:val="00000005"/>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0"/>
      <w:numFmt w:val="decimal"/>
      <w:lvlText w:val=""/>
      <w:lvlJc w:val="left"/>
      <w:pPr>
        <w:ind w:left="0" w:firstLine="0"/>
      </w:pPr>
    </w:lvl>
    <w:lvl w:ilvl="2">
      <w:start w:val="0"/>
      <w:numFmt w:val="decimal"/>
      <w:lvlText w:val=""/>
      <w:lvlJc w:val="left"/>
      <w:pPr>
        <w:ind w:left="0" w:firstLine="0"/>
      </w:pPr>
    </w:lvl>
    <w:lvl w:ilvl="3">
      <w:start w:val="0"/>
      <w:numFmt w:val="decimal"/>
      <w:lvlText w:val=""/>
      <w:lvlJc w:val="left"/>
      <w:pPr>
        <w:ind w:left="0" w:firstLine="0"/>
      </w:pPr>
    </w:lvl>
    <w:lvl w:ilvl="4">
      <w:start w:val="0"/>
      <w:numFmt w:val="decimal"/>
      <w:lvlText w:val=""/>
      <w:lvlJc w:val="left"/>
      <w:pPr>
        <w:ind w:left="0" w:firstLine="0"/>
      </w:pPr>
    </w:lvl>
    <w:lvl w:ilvl="5">
      <w:start w:val="0"/>
      <w:numFmt w:val="decimal"/>
      <w:lvlText w:val=""/>
      <w:lvlJc w:val="left"/>
      <w:pPr>
        <w:ind w:left="0" w:firstLine="0"/>
      </w:pPr>
    </w:lvl>
    <w:lvl w:ilvl="6">
      <w:start w:val="0"/>
      <w:numFmt w:val="decimal"/>
      <w:lvlText w:val=""/>
      <w:lvlJc w:val="left"/>
      <w:pPr>
        <w:ind w:left="0" w:firstLine="0"/>
      </w:pPr>
    </w:lvl>
    <w:lvl w:ilvl="7">
      <w:start w:val="0"/>
      <w:numFmt w:val="decimal"/>
      <w:lvlText w:val=""/>
      <w:lvlJc w:val="left"/>
      <w:pPr>
        <w:ind w:left="0" w:firstLine="0"/>
      </w:pPr>
    </w:lvl>
    <w:lvl w:ilvl="8">
      <w:start w:val="0"/>
      <w:numFmt w:val="decimal"/>
      <w:lvlText w:val=""/>
      <w:lvlJc w:val="left"/>
      <w:pPr>
        <w:ind w:left="0" w:firstLine="0"/>
      </w:pPr>
    </w:lvl>
  </w:abstractNum>
  <w:abstractNum w:abstractNumId="6">
    <w:nsid w:val="00000006"/>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0"/>
      <w:numFmt w:val="decimal"/>
      <w:lvlText w:val=""/>
      <w:lvlJc w:val="left"/>
      <w:pPr>
        <w:ind w:left="0" w:firstLine="0"/>
      </w:pPr>
    </w:lvl>
    <w:lvl w:ilvl="2">
      <w:start w:val="0"/>
      <w:numFmt w:val="decimal"/>
      <w:lvlText w:val=""/>
      <w:lvlJc w:val="left"/>
      <w:pPr>
        <w:ind w:left="0" w:firstLine="0"/>
      </w:pPr>
    </w:lvl>
    <w:lvl w:ilvl="3">
      <w:start w:val="0"/>
      <w:numFmt w:val="decimal"/>
      <w:lvlText w:val=""/>
      <w:lvlJc w:val="left"/>
      <w:pPr>
        <w:ind w:left="0" w:firstLine="0"/>
      </w:pPr>
    </w:lvl>
    <w:lvl w:ilvl="4">
      <w:start w:val="0"/>
      <w:numFmt w:val="decimal"/>
      <w:lvlText w:val=""/>
      <w:lvlJc w:val="left"/>
      <w:pPr>
        <w:ind w:left="0" w:firstLine="0"/>
      </w:pPr>
    </w:lvl>
    <w:lvl w:ilvl="5">
      <w:start w:val="0"/>
      <w:numFmt w:val="decimal"/>
      <w:lvlText w:val=""/>
      <w:lvlJc w:val="left"/>
      <w:pPr>
        <w:ind w:left="0" w:firstLine="0"/>
      </w:pPr>
    </w:lvl>
    <w:lvl w:ilvl="6">
      <w:start w:val="0"/>
      <w:numFmt w:val="decimal"/>
      <w:lvlText w:val=""/>
      <w:lvlJc w:val="left"/>
      <w:pPr>
        <w:ind w:left="0" w:firstLine="0"/>
      </w:pPr>
    </w:lvl>
    <w:lvl w:ilvl="7">
      <w:start w:val="0"/>
      <w:numFmt w:val="decimal"/>
      <w:lvlText w:val=""/>
      <w:lvlJc w:val="left"/>
      <w:pPr>
        <w:ind w:left="0" w:firstLine="0"/>
      </w:pPr>
    </w:lvl>
    <w:lvl w:ilvl="8">
      <w:start w:val="0"/>
      <w:numFmt w:val="decimal"/>
      <w:lvlText w:val=""/>
      <w:lvlJc w:val="left"/>
      <w:pPr>
        <w:ind w:left="0" w:firstLine="0"/>
      </w:pPr>
    </w:lvl>
  </w:abstractNum>
  <w:abstractNum w:abstractNumId="7">
    <w:nsid w:val="00000007"/>
    <w:multiLevelType w:val="multilevel"/>
    <w:tmpl w:val="FFFFFFFF"/>
    <w:lvl w:ilvl="0">
      <w:start w:val="1"/>
      <w:numFmt w:val="decimal"/>
      <w:lvlText w:val="%1."/>
      <w:lvlJc w:val="left"/>
      <w:pPr>
        <w:ind w:left="720" w:hanging="360"/>
      </w:pPr>
    </w:lvl>
    <w:lvl w:ilvl="1">
      <w:start w:val="0"/>
      <w:numFmt w:val="decimal"/>
      <w:lvlText w:val=""/>
      <w:lvlJc w:val="left"/>
      <w:pPr>
        <w:ind w:left="0" w:firstLine="0"/>
      </w:pPr>
    </w:lvl>
    <w:lvl w:ilvl="2">
      <w:start w:val="0"/>
      <w:numFmt w:val="decimal"/>
      <w:lvlText w:val=""/>
      <w:lvlJc w:val="left"/>
      <w:pPr>
        <w:ind w:left="0" w:firstLine="0"/>
      </w:pPr>
    </w:lvl>
    <w:lvl w:ilvl="3">
      <w:start w:val="0"/>
      <w:numFmt w:val="decimal"/>
      <w:lvlText w:val=""/>
      <w:lvlJc w:val="left"/>
      <w:pPr>
        <w:ind w:left="0" w:firstLine="0"/>
      </w:pPr>
    </w:lvl>
    <w:lvl w:ilvl="4">
      <w:start w:val="0"/>
      <w:numFmt w:val="decimal"/>
      <w:lvlText w:val=""/>
      <w:lvlJc w:val="left"/>
      <w:pPr>
        <w:ind w:left="0" w:firstLine="0"/>
      </w:pPr>
    </w:lvl>
    <w:lvl w:ilvl="5">
      <w:start w:val="0"/>
      <w:numFmt w:val="decimal"/>
      <w:lvlText w:val=""/>
      <w:lvlJc w:val="left"/>
      <w:pPr>
        <w:ind w:left="0" w:firstLine="0"/>
      </w:pPr>
    </w:lvl>
    <w:lvl w:ilvl="6">
      <w:start w:val="0"/>
      <w:numFmt w:val="decimal"/>
      <w:lvlText w:val=""/>
      <w:lvlJc w:val="left"/>
      <w:pPr>
        <w:ind w:left="0" w:firstLine="0"/>
      </w:pPr>
    </w:lvl>
    <w:lvl w:ilvl="7">
      <w:start w:val="0"/>
      <w:numFmt w:val="decimal"/>
      <w:lvlText w:val=""/>
      <w:lvlJc w:val="left"/>
      <w:pPr>
        <w:ind w:left="0" w:firstLine="0"/>
      </w:pPr>
    </w:lvl>
    <w:lvl w:ilvl="8">
      <w:start w:val="0"/>
      <w:numFmt w:val="decimal"/>
      <w:lvlText w:val=""/>
      <w:lvlJc w:val="left"/>
      <w:pPr>
        <w:ind w:left="0" w:firstLine="0"/>
      </w:pPr>
    </w:lvl>
  </w:abstractNum>
  <w:abstractNum w:abstractNumId="8">
    <w:nsid w:val="00000008"/>
    <w:multiLevelType w:val="multilevel"/>
    <w:tmpl w:val="FFFFFFFF"/>
    <w:lvl w:ilvl="0">
      <w:start w:val="1"/>
      <w:numFmt w:val="decimal"/>
      <w:lvlText w:val="%1."/>
      <w:lvlJc w:val="left"/>
      <w:pPr>
        <w:ind w:left="720" w:hanging="360"/>
      </w:pPr>
    </w:lvl>
    <w:lvl w:ilvl="1">
      <w:start w:val="0"/>
      <w:numFmt w:val="decimal"/>
      <w:lvlText w:val=""/>
      <w:lvlJc w:val="left"/>
      <w:pPr>
        <w:ind w:left="0" w:firstLine="0"/>
      </w:pPr>
    </w:lvl>
    <w:lvl w:ilvl="2">
      <w:start w:val="0"/>
      <w:numFmt w:val="decimal"/>
      <w:lvlText w:val=""/>
      <w:lvlJc w:val="left"/>
      <w:pPr>
        <w:ind w:left="0" w:firstLine="0"/>
      </w:pPr>
    </w:lvl>
    <w:lvl w:ilvl="3">
      <w:start w:val="0"/>
      <w:numFmt w:val="decimal"/>
      <w:lvlText w:val=""/>
      <w:lvlJc w:val="left"/>
      <w:pPr>
        <w:ind w:left="0" w:firstLine="0"/>
      </w:pPr>
    </w:lvl>
    <w:lvl w:ilvl="4">
      <w:start w:val="0"/>
      <w:numFmt w:val="decimal"/>
      <w:lvlText w:val=""/>
      <w:lvlJc w:val="left"/>
      <w:pPr>
        <w:ind w:left="0" w:firstLine="0"/>
      </w:pPr>
    </w:lvl>
    <w:lvl w:ilvl="5">
      <w:start w:val="0"/>
      <w:numFmt w:val="decimal"/>
      <w:lvlText w:val=""/>
      <w:lvlJc w:val="left"/>
      <w:pPr>
        <w:ind w:left="0" w:firstLine="0"/>
      </w:pPr>
    </w:lvl>
    <w:lvl w:ilvl="6">
      <w:start w:val="0"/>
      <w:numFmt w:val="decimal"/>
      <w:lvlText w:val=""/>
      <w:lvlJc w:val="left"/>
      <w:pPr>
        <w:ind w:left="0" w:firstLine="0"/>
      </w:pPr>
    </w:lvl>
    <w:lvl w:ilvl="7">
      <w:start w:val="0"/>
      <w:numFmt w:val="decimal"/>
      <w:lvlText w:val=""/>
      <w:lvlJc w:val="left"/>
      <w:pPr>
        <w:ind w:left="0" w:firstLine="0"/>
      </w:pPr>
    </w:lvl>
    <w:lvl w:ilvl="8">
      <w:start w:val="0"/>
      <w:numFmt w:val="decimal"/>
      <w:lvlText w:val=""/>
      <w:lvlJc w:val="left"/>
      <w:pPr>
        <w:ind w:left="0" w:firstLine="0"/>
      </w:pPr>
    </w:lvl>
  </w:abstractNum>
  <w:abstractNum w:abstractNumId="9">
    <w:nsid w:val="00000009"/>
    <w:multiLevelType w:val="multilevel"/>
    <w:tmpl w:val="FFFFFFFF"/>
    <w:lvl w:ilvl="0">
      <w:start w:val="1"/>
      <w:numFmt w:val="lowerRoman"/>
      <w:lvlText w:val="%1."/>
      <w:lvlJc w:val="left"/>
      <w:pPr>
        <w:ind w:left="720" w:hanging="360"/>
      </w:pPr>
    </w:lvl>
    <w:lvl w:ilvl="1">
      <w:start w:val="0"/>
      <w:numFmt w:val="decimal"/>
      <w:lvlText w:val=""/>
      <w:lvlJc w:val="left"/>
      <w:pPr>
        <w:ind w:left="0" w:firstLine="0"/>
      </w:pPr>
    </w:lvl>
    <w:lvl w:ilvl="2">
      <w:start w:val="0"/>
      <w:numFmt w:val="decimal"/>
      <w:lvlText w:val=""/>
      <w:lvlJc w:val="left"/>
      <w:pPr>
        <w:ind w:left="0" w:firstLine="0"/>
      </w:pPr>
    </w:lvl>
    <w:lvl w:ilvl="3">
      <w:start w:val="0"/>
      <w:numFmt w:val="decimal"/>
      <w:lvlText w:val=""/>
      <w:lvlJc w:val="left"/>
      <w:pPr>
        <w:ind w:left="0" w:firstLine="0"/>
      </w:pPr>
    </w:lvl>
    <w:lvl w:ilvl="4">
      <w:start w:val="0"/>
      <w:numFmt w:val="decimal"/>
      <w:lvlText w:val=""/>
      <w:lvlJc w:val="left"/>
      <w:pPr>
        <w:ind w:left="0" w:firstLine="0"/>
      </w:pPr>
    </w:lvl>
    <w:lvl w:ilvl="5">
      <w:start w:val="0"/>
      <w:numFmt w:val="decimal"/>
      <w:lvlText w:val=""/>
      <w:lvlJc w:val="left"/>
      <w:pPr>
        <w:ind w:left="0" w:firstLine="0"/>
      </w:pPr>
    </w:lvl>
    <w:lvl w:ilvl="6">
      <w:start w:val="0"/>
      <w:numFmt w:val="decimal"/>
      <w:lvlText w:val=""/>
      <w:lvlJc w:val="left"/>
      <w:pPr>
        <w:ind w:left="0" w:firstLine="0"/>
      </w:pPr>
    </w:lvl>
    <w:lvl w:ilvl="7">
      <w:start w:val="0"/>
      <w:numFmt w:val="decimal"/>
      <w:lvlText w:val=""/>
      <w:lvlJc w:val="left"/>
      <w:pPr>
        <w:ind w:left="0" w:firstLine="0"/>
      </w:pPr>
    </w:lvl>
    <w:lvl w:ilvl="8">
      <w:start w:val="0"/>
      <w:numFmt w:val="decimal"/>
      <w:lvlText w:val=""/>
      <w:lvlJc w:val="left"/>
      <w:pPr>
        <w:ind w:left="0" w:firstLine="0"/>
      </w:pPr>
    </w:lvl>
  </w:abstractNum>
  <w:num w:numId="1">
    <w:abstractNumId w:val="3"/>
  </w:num>
  <w:num w:numId="2">
    <w:abstractNumId w:val="0"/>
  </w:num>
  <w:num w:numId="3">
    <w:abstractNumId w:val="1"/>
  </w:num>
  <w:num w:numId="4">
    <w:abstractNumId w:val="2"/>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Calibri" w:hAnsi="Calibri"/>
        <w:sz w:val="24"/>
        <w:szCs w:val="24"/>
        <w:lang w:val="it-IT"/>
      </w:rPr>
    </w:rPrDefault>
    <w:pPrDefault>
      <w:pPr/>
    </w:pPrDefault>
  </w:docDefaults>
  <w:style w:type="paragraph" w:customStyle="1" w:styleId="style4097">
    <w:name w:val="normal"/>
    <w:next w:val="style4097"/>
    <w:pPr/>
  </w:style>
  <w:style w:type="table" w:customStyle="1" w:styleId="style4098">
    <w:name w:val="Table Normal"/>
    <w:next w:val="style4098"/>
    <w:pPr/>
    <w:tcPr>
      <w:tcBorders/>
    </w:tcPr>
  </w:style>
  <w:style w:type="paragraph" w:styleId="style1">
    <w:name w:val="heading 1"/>
    <w:basedOn w:val="style0"/>
    <w:next w:val="style1"/>
    <w:link w:val="style4102"/>
    <w:qFormat/>
    <w:uiPriority w:val="9"/>
    <w:pPr>
      <w:widowControl w:val="false"/>
      <w:autoSpaceDE w:val="false"/>
      <w:autoSpaceDN w:val="false"/>
      <w:spacing w:before="94"/>
      <w:ind w:left="462" w:right="123" w:hanging="360"/>
      <w:outlineLvl w:val="0"/>
    </w:pPr>
    <w:rPr>
      <w:rFonts w:ascii="Arial" w:cs="Arial" w:eastAsia="Arial" w:hAnsi="Arial"/>
      <w:b/>
      <w:bCs/>
      <w:sz w:val="22"/>
      <w:szCs w:val="22"/>
    </w:rPr>
  </w:style>
  <w:style w:type="paragraph" w:styleId="style2">
    <w:name w:val="heading 2"/>
    <w:basedOn w:val="style4097"/>
    <w:next w:val="style4097"/>
    <w:pPr>
      <w:keepNext/>
      <w:keepLines/>
      <w:pageBreakBefore w:val="false"/>
      <w:spacing w:before="360" w:after="80"/>
    </w:pPr>
    <w:rPr>
      <w:b/>
      <w:sz w:val="36"/>
      <w:szCs w:val="36"/>
    </w:rPr>
  </w:style>
  <w:style w:type="paragraph" w:styleId="style3">
    <w:name w:val="heading 3"/>
    <w:basedOn w:val="style4097"/>
    <w:next w:val="style4097"/>
    <w:pPr>
      <w:keepNext/>
      <w:keepLines/>
      <w:pageBreakBefore w:val="false"/>
      <w:spacing w:before="280" w:after="80"/>
    </w:pPr>
    <w:rPr>
      <w:b/>
      <w:sz w:val="28"/>
      <w:szCs w:val="28"/>
    </w:rPr>
  </w:style>
  <w:style w:type="paragraph" w:styleId="style4">
    <w:name w:val="heading 4"/>
    <w:basedOn w:val="style4097"/>
    <w:next w:val="style4097"/>
    <w:pPr>
      <w:keepNext/>
      <w:keepLines/>
      <w:pageBreakBefore w:val="false"/>
      <w:spacing w:before="240" w:after="40"/>
    </w:pPr>
    <w:rPr>
      <w:b/>
      <w:sz w:val="24"/>
      <w:szCs w:val="24"/>
    </w:rPr>
  </w:style>
  <w:style w:type="paragraph" w:styleId="style5">
    <w:name w:val="heading 5"/>
    <w:basedOn w:val="style4097"/>
    <w:next w:val="style4097"/>
    <w:pPr>
      <w:keepNext/>
      <w:keepLines/>
      <w:pageBreakBefore w:val="false"/>
      <w:spacing w:before="220" w:after="40"/>
    </w:pPr>
    <w:rPr>
      <w:b/>
      <w:sz w:val="22"/>
      <w:szCs w:val="22"/>
    </w:rPr>
  </w:style>
  <w:style w:type="paragraph" w:styleId="style6">
    <w:name w:val="heading 6"/>
    <w:basedOn w:val="style4097"/>
    <w:next w:val="style4097"/>
    <w:pPr>
      <w:keepNext/>
      <w:keepLines/>
      <w:pageBreakBefore w:val="false"/>
      <w:spacing w:before="200" w:after="40"/>
    </w:pPr>
    <w:rPr>
      <w:b/>
      <w:sz w:val="20"/>
      <w:szCs w:val="20"/>
    </w:rPr>
  </w:style>
  <w:style w:type="paragraph" w:styleId="style62">
    <w:name w:val="Title"/>
    <w:basedOn w:val="style4097"/>
    <w:next w:val="style4097"/>
    <w:pPr>
      <w:keepNext/>
      <w:keepLines/>
      <w:pageBreakBefore w:val="false"/>
      <w:spacing w:before="480" w:after="120"/>
    </w:pPr>
    <w:rPr>
      <w:b/>
      <w:sz w:val="72"/>
      <w:szCs w:val="72"/>
    </w:rPr>
  </w:style>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78">
    <w:name w:val="Revision"/>
    <w:next w:val="style178"/>
    <w:uiPriority w:val="99"/>
    <w:p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9"/>
    <w:uiPriority w:val="99"/>
    <w:pPr/>
    <w:rPr>
      <w:sz w:val="20"/>
      <w:szCs w:val="20"/>
    </w:rPr>
  </w:style>
  <w:style w:type="character" w:customStyle="1" w:styleId="style4099">
    <w:name w:val="Testo commento Carattere"/>
    <w:basedOn w:val="style65"/>
    <w:next w:val="style4099"/>
    <w:link w:val="style30"/>
    <w:uiPriority w:val="99"/>
    <w:rPr>
      <w:sz w:val="20"/>
      <w:szCs w:val="20"/>
    </w:rPr>
  </w:style>
  <w:style w:type="paragraph" w:styleId="style106">
    <w:name w:val="annotation subject"/>
    <w:basedOn w:val="style30"/>
    <w:next w:val="style30"/>
    <w:link w:val="style4100"/>
    <w:uiPriority w:val="99"/>
    <w:pPr/>
    <w:rPr>
      <w:b/>
      <w:bCs/>
    </w:rPr>
  </w:style>
  <w:style w:type="character" w:customStyle="1" w:styleId="style4100">
    <w:name w:val="Soggetto commento Carattere"/>
    <w:basedOn w:val="style4099"/>
    <w:next w:val="style4100"/>
    <w:link w:val="style106"/>
    <w:uiPriority w:val="99"/>
    <w:rPr>
      <w:b/>
      <w:bCs/>
      <w:sz w:val="20"/>
      <w:szCs w:val="20"/>
    </w:rPr>
  </w:style>
  <w:style w:type="paragraph" w:styleId="style153">
    <w:name w:val="Balloon Text"/>
    <w:basedOn w:val="style0"/>
    <w:next w:val="style153"/>
    <w:link w:val="style4101"/>
    <w:uiPriority w:val="99"/>
    <w:pPr/>
    <w:rPr>
      <w:rFonts w:ascii="Times New Roman" w:cs="Times New Roman" w:hAnsi="Times New Roman"/>
      <w:sz w:val="18"/>
      <w:szCs w:val="18"/>
    </w:rPr>
  </w:style>
  <w:style w:type="character" w:customStyle="1" w:styleId="style4101">
    <w:name w:val="Testo fumetto Carattere"/>
    <w:basedOn w:val="style65"/>
    <w:next w:val="style4101"/>
    <w:link w:val="style153"/>
    <w:uiPriority w:val="99"/>
    <w:rPr>
      <w:rFonts w:ascii="Times New Roman" w:cs="Times New Roman" w:hAnsi="Times New Roman"/>
      <w:sz w:val="18"/>
      <w:szCs w:val="18"/>
    </w:rPr>
  </w:style>
  <w:style w:type="character" w:customStyle="1" w:styleId="style4102">
    <w:name w:val="Titolo 1 Carattere"/>
    <w:basedOn w:val="style65"/>
    <w:next w:val="style4102"/>
    <w:link w:val="style1"/>
    <w:uiPriority w:val="9"/>
    <w:rPr>
      <w:rFonts w:ascii="Arial" w:cs="Arial" w:eastAsia="Arial" w:hAnsi="Arial"/>
      <w:b/>
      <w:bCs/>
      <w:sz w:val="22"/>
      <w:szCs w:val="22"/>
    </w:rPr>
  </w:style>
  <w:style w:type="paragraph" w:styleId="style66">
    <w:name w:val="Body Text"/>
    <w:basedOn w:val="style0"/>
    <w:next w:val="style66"/>
    <w:link w:val="style4103"/>
    <w:qFormat/>
    <w:uiPriority w:val="1"/>
    <w:pPr>
      <w:widowControl w:val="false"/>
      <w:autoSpaceDE w:val="false"/>
      <w:autoSpaceDN w:val="false"/>
    </w:pPr>
    <w:rPr>
      <w:rFonts w:ascii="Arial MT" w:cs="Arial MT" w:eastAsia="Arial MT" w:hAnsi="Arial MT"/>
      <w:sz w:val="22"/>
      <w:szCs w:val="22"/>
    </w:rPr>
  </w:style>
  <w:style w:type="character" w:customStyle="1" w:styleId="style4103">
    <w:name w:val="Corpo testo Carattere"/>
    <w:basedOn w:val="style65"/>
    <w:next w:val="style4103"/>
    <w:link w:val="style66"/>
    <w:uiPriority w:val="1"/>
    <w:rPr>
      <w:rFonts w:ascii="Arial MT" w:cs="Arial MT" w:eastAsia="Arial MT" w:hAnsi="Arial MT"/>
      <w:sz w:val="22"/>
      <w:szCs w:val="22"/>
    </w:rPr>
  </w:style>
  <w:style w:type="paragraph" w:styleId="style31">
    <w:name w:val="header"/>
    <w:basedOn w:val="style0"/>
    <w:next w:val="style31"/>
    <w:link w:val="style4104"/>
    <w:uiPriority w:val="99"/>
    <w:pPr>
      <w:tabs>
        <w:tab w:val="center" w:leader="none" w:pos="4819"/>
        <w:tab w:val="right" w:leader="none" w:pos="9638"/>
      </w:tabs>
    </w:pPr>
    <w:rPr/>
  </w:style>
  <w:style w:type="character" w:customStyle="1" w:styleId="style4104">
    <w:name w:val="Intestazione Carattere"/>
    <w:basedOn w:val="style65"/>
    <w:next w:val="style4104"/>
    <w:link w:val="style31"/>
    <w:uiPriority w:val="99"/>
  </w:style>
  <w:style w:type="paragraph" w:styleId="style32">
    <w:name w:val="footer"/>
    <w:basedOn w:val="style0"/>
    <w:next w:val="style32"/>
    <w:link w:val="style4105"/>
    <w:uiPriority w:val="99"/>
    <w:pPr>
      <w:tabs>
        <w:tab w:val="center" w:leader="none" w:pos="4819"/>
        <w:tab w:val="right" w:leader="none" w:pos="9638"/>
      </w:tabs>
    </w:pPr>
    <w:rPr/>
  </w:style>
  <w:style w:type="character" w:customStyle="1" w:styleId="style4105">
    <w:name w:val="Piè di pagina Carattere"/>
    <w:basedOn w:val="style65"/>
    <w:next w:val="style4105"/>
    <w:link w:val="style32"/>
    <w:uiPriority w:val="99"/>
  </w:style>
  <w:style w:type="character" w:styleId="style156">
    <w:name w:val="Placeholder Text"/>
    <w:basedOn w:val="style65"/>
    <w:next w:val="style156"/>
    <w:uiPriority w:val="99"/>
    <w:rPr>
      <w:color w:val="808080"/>
    </w:rPr>
  </w:style>
  <w:style w:type="paragraph" w:styleId="style94">
    <w:name w:val="Normal (Web)"/>
    <w:basedOn w:val="style0"/>
    <w:next w:val="style94"/>
    <w:uiPriority w:val="99"/>
    <w:pPr>
      <w:spacing w:before="100" w:beforeAutospacing="true" w:after="100" w:afterAutospacing="true"/>
    </w:pPr>
    <w:rPr>
      <w:rFonts w:ascii="Times New Roman" w:cs="Times New Roman" w:eastAsia="宋体" w:hAnsi="Times New Roman"/>
      <w:lang w:eastAsia="it-IT"/>
    </w:rPr>
  </w:style>
  <w:style w:type="paragraph" w:styleId="style74">
    <w:name w:val="Subtitle"/>
    <w:basedOn w:val="style4097"/>
    <w:next w:val="style4097"/>
    <w:pPr>
      <w:keepNext/>
      <w:keepLines/>
      <w:pageBreakBefore w:val="false"/>
      <w:spacing w:before="360" w:after="80"/>
    </w:pPr>
    <w:rPr>
      <w:rFonts w:ascii="Georgia" w:cs="Georgia" w:eastAsia="Georgia" w:hAnsi="Georgia"/>
      <w:i/>
      <w:color w:val="666666"/>
      <w:sz w:val="48"/>
      <w:szCs w:val="4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footer" Target="footer4.xml"/><Relationship Id="rId6" Type="http://schemas.openxmlformats.org/officeDocument/2006/relationships/header" Target="header5.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11</TotalTime>
  <Words>1393</Words>
  <Characters>8481</Characters>
  <Application>WPS Office</Application>
  <Paragraphs>63</Paragraphs>
  <CharactersWithSpaces>9849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2024-03-12T14:05:00Z</dcterms:created>
  <dc:creator>Giovanna Chinellato</dc:creator>
  <lastModifiedBy>Redmi Note 9 Pro</lastModifiedBy>
  <dcterms:modified xsi:type="dcterms:W3CDTF">2025-07-17T09:12:22Z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4cd9d716494645a5886777652ab9bf13</vt:lpwstr>
  </property>
</Properties>
</file>